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CR.2013.0080 vom 12. Dezember 2013</w:t>
      </w:r>
    </w:p>
    <w:p>
      <w:r>
        <w:t>VD Tribunal cantonal, 2013-12-12, FR</w:t>
      </w:r>
    </w:p>
    <w:p>
      <w:r>
        <w:rPr>
          <w:b/>
        </w:rPr>
        <w:t xml:space="preserve">Quelle: </w:t>
      </w:r>
      <w:r>
        <w:t>https://mcp.opencaselaw.ch/entscheid/vd_omni_CR.2013.0080</w:t>
      </w:r>
    </w:p>
    <w:p>
      <w:r>
        <w:t>FR: VD_OMNI CR.2013.0080 du 12 décembre 2013</w:t>
      </w:r>
    </w:p>
    <w:p>
      <w:r>
        <w:t>IT: VD_OMNI CR.2013.0080 del 12 dicembre 2013</w:t>
      </w:r>
    </w:p>
    <w:p>
      <w:pPr>
        <w:pStyle w:val="Heading2"/>
      </w:pPr>
      <w:r>
        <w:t>Regeste</w:t>
      </w:r>
    </w:p>
    <w:p>
      <w:r>
        <w:t>X.________/Service des automobiles et de la navigation | Dépassement de la vitesse autorisée en localité de 23 km/h, constitutif d'une faute moyennement grave au sens de l'art. 16b al. 1 let. a LCR, entraînant un retrait du permis de conduire pour un mois, qui correspond au minimum légal. Au vu de l'arrêt de principe CR.2010.0071, le cumul d'une peine pécuniaire avec sursis, assortie d'une amende, et d'un retrait d'admonestation du permis de conduire, tel que prévu par la LCR, ne viole pas l'interdiction de la double poursuite ("ne bis in idem"). Recours rejeté. Recours au TF rejeté dans la mesure où il est recevable (ATF 1C_55/2014 du 9 janvier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se plaint, exclusivement, de la violation de la règle " ne bis in idem ", en se prévalant à cet égard de l'arrêt Zolotoukhine, ainsi que de divers avis doctrinaux. Il y a donc lieu d’examiner si la double procédure pénale et administrative prévue par la loi fédérale sur la circulation routière (LCR ; RS 741.01) est conforme à l'interprétation de l'art. 4 par. 1 du Protocole additionnel n° 7 à la CEDH, a) Nul ne peut être poursuivi ou puni pénalement à raison de faits pour lesquels il a déjà été acquitté ou condamné par un jugement définitif. Ce droit, exprimé par l’adage " ne bis in idem ", est garanti notamment par l’art. 4 du Protocole n° 7 à la Convention européenne de sauvegarde des droits de l'homme et des libertés fondamentales (CEDH; RS 0.101.07). Dans un arrêt rendu le 28 janvier 2011 (cause 2010.0071), dans le cadre d’une procédure de coordination au sens de l’art. 34 du Règlement organique du Tribunal cantonal du 13 novembre 2007 (ROTC, RSV 173.31.1), le Tribunal cantonal a jugé que le cumul de l’amende, au sens de l’art. 90 LCR, et d’un retrait de permis, au sens des art. 16 et ss LCR, n’entraînait pas une violation de l’art. 4 du Protocole n° 7 CEDH, tel qu’interprété par la Cour européenne des droits de l’homme dans l’arrêt rendu le 10 février 2009 dans la cause Sergeï Zolotoukhine c. Russie (req. n° 14939/03), auquel se réfère le recourant. L’arrêt du 28 janvier 2011 a fait l’objet d’un recours au Tribunal fédéral. Le Tribunal fédéral a considéré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En matière de répression des infractions relatives à la circulation routière, elle a relevé que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Le Tribunal fédéral a rappelé que selon sa jurisprudence constante, la double procédure pénale et administrative prévue en droit suisse pour les infractions relatives à la circulation routière ne viole pas le principe « ne bis in idem ». En effet, l’application dudit principe suppose en particulier que le juge de la première procédure ait été mis en mesure d’apprécier l’état de fait sous tous ses aspects juridiques. Elle a estimé que cette condition faisait défaut en raison des pouvoirs de décision limités de chacune des autorités compétentes. Ainsi, seules les deux autorités prises ensemble peuvent examiner l’état de fait dans son intégralité sous tous ses aspects juridiques (ATF 125 II 402 consid. 1b p. 404 s.). Une certaine coordination s'impose donc entre ces deux procédures.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ATF 129 II 312 consid. 2.4 p. 315; ATF 123 II 97 consid. 3c/aa p. 104; ATF 105 Ib 18 consid. 1a et réf. cit.). Si l'arrêt Zolotoukhine a clarifié l'application du principe "ne bis in idem" en tranchant en faveur du critère de l'identité des faits, le Tribunal fédéral a considéré qu’il ne s'était pas prononcé sur le cumul des procédures administrative et pénale en matière d'infractions contre la circulation routière. Il a relevé que ce domaine est particulier à différents titres. D'abord, même si le retrait du permis de conduire présente un caractère pénal (ATF 128 II 173 consid. 3c p. 176 et les arrêts cités), il s'agit d'une sanction administrative indépendante de la sanction pénale, avec une fonction préventive et éducative prépondérante (ATF 128 II 173consid. 3c p. 177; ATF 125 II 396 consid. 2a/aa p. 399). Son but principal est de garantir le respect des règles de la circulation routière et la sécurité des usagers de la route (voir également Message du 21 septembre 1998 concernant la modification du Code pénal suisse [...] et du Code pénal militaire ainsi qu'une loi fédérale régissant la condition pénale des mineurs, FF 1999 1865 ch. 213.15). Enfin, selon le Tribunal fédéral, 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Il est ainsi parvenu à la conclusion que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Or, tel n'est pas le cas du système sanctionné par l'arrêt Zolotoukhine, dont les considérants se rapportent à deux procédures (administrative et pénale) sanctionnant un même état de fait, conduites par le même tribunal disposant des mêmes sanctions. b) Au vu de ce qui précède, l’argument tiré d’une violation du principe « ne bis in idem » est ainsi infondé.</w:t>
      </w:r>
    </w:p>
    <w:p>
      <w:r>
        <w:rPr>
          <w:b/>
        </w:rPr>
        <w:t>E. 3</w:t>
      </w:r>
    </w:p>
    <w:p>
      <w:r>
        <w:t>Le Tribunal fédéral a rappelé à plusieurs reprises que si les faits retenus au pénal lient en principe l'autorité et le juge administratifs, il en va différemment des questions de droit, en particulier de l'appréciation de la faute et de la mise en danger (ATF 1C_502/2011 du 6 mars 2012 consid. 2.1; 1C_353/2010 du 12 janvier 2011 consid. 2.1; 1C_274/2010 du 7 octobre 2010 consid. 2.1; 1C_585/2008 du 14 mai 2009 consid. 3.1; 1C_222/2008 du 18 novembre 2008 consid. 2.4). Il reste donc à examiner si, sur la base des éléments en sa possession, l'autorité intimée était légitimée à considérer comme moyennement grave l'infraction commise par le recourant.</w:t>
      </w:r>
    </w:p>
    <w:p>
      <w:r>
        <w:rPr>
          <w:b/>
        </w:rPr>
        <w:t>E. 4</w:t>
      </w:r>
    </w:p>
    <w:p>
      <w:r>
        <w:t>a) La loi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d) Afin d’assurer l’égalité de traitement entre les conducteurs, la jurisprudence a été amenée à fixer des règles précises dans le domaine des excès de vitesse (voir, pour un récent récapitulatif l'ATF 1C_83/2008 du 16 octobre 2008 ainsi que l’ATF 1C_216/2009 du 14 septembre 2009 consid. 5.2).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124 II 259 consid. 2b). Il est en revanche de moyenne gravité lorsque le dépassement de la vitesse autorisée est, respectivement, de 21 à 24 km/h (ATF 126 II 196 consid. 2a), de 26 à 29 km/h et de 31 à 34 km/h (ATF 128 II 131 consid. 2). Ces chiffres s'appliquent lorsque les conditions de circulation sont favorables et que le conducteur jouit d'une bonne réputation en tant qu'automobiliste; il n'est dès lors nullement exclu de faire preuve d'une sévérité plus grande en fonction des circonstances concrètes (ATF 1C_81/2007 du 31 octobre 2007, consid. 4 ; 124 II 475 consid. 2a). Une moindre sévérité peut être justifiée par des circonstances exceptionnelles, telles que celles susceptibles d'entraîner une application analogique de l'art. 66bis CP (actuellement art. 54 CP) ou une erreur compréhensible sur la vitesse autorisée (ATF 124 II 475; 126 II 196; cf. aussi Cédric Mizel, Les nouvelles dispositions légales sur le retrait du permis de conduire, RDAF 2004 I, p. 384 s). 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en dehors des localités ou à l'intérieur des localités. Ils n'ont pas été fixés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Ces considérations demeurent pleinement valables aujourd'hui; en effet, si les dépassements de la vitesse maximale autorisée ont connu une tendance à la baisse au cours de la dernière décennie, ils constituent néanmoins toujours la principale cause des accidents de la route et des retraits de permis de conduire, selon le rapport SINUS 2007 du Bureau de prévention des accidents et la statistique des mesures administratives frappant les conducteurs de véhicules établie par l'Office fédéral des routes (ATF 1C_83/2008 du 16 octobre 2008 consid. 2.5). f) Les circonstances personnelles ne peuvent être prises en considération que pour décider de la durée du retrait, et non de la mesure elle-même, dont le prononcé est subordonné aux critères fixés par la loi et la jurisprudence. Aussi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(arrêt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(arrêt 6A.61/2006 du 23 novembre 2006 consid. 4.3 et</w:t>
      </w:r>
    </w:p>
    <w:p>
      <w:r>
        <w:rPr>
          <w:b/>
        </w:rPr>
        <w:t>E. 4.5</w:t>
      </w:r>
    </w:p>
    <w:p>
      <w:r>
        <w:t>résumés in JdT 2007 I 502; voir pour une récapitulation générale ATF 1C_83/2008 précité).</w:t>
      </w:r>
    </w:p>
    <w:p>
      <w:r>
        <w:rPr>
          <w:b/>
        </w:rPr>
        <w:t>E. 5</w:t>
      </w:r>
    </w:p>
    <w:p>
      <w:r>
        <w:t>En l’espèce, le recourant a dépassé de 23 km/h la vitesse maximale autorisée dans une localité. a) À la lumière de la jurisprudence précitée (voir consid. 4c ci-dessus), un dépassement de la vitesse autorisée en localité de 23 km/h (marge de sécurité déduite) constitue un cas objectivement de moyenne gravité au sens de l'art. 16b al. 1 let. a LCR. Le recourant fait toutefois valoir que la route sur laquelle il circulait se trouve dans un secteur non habité, comme l’attestent les photographies produites. Il invoque donc implicitement qu’il ne pensait pas circuler sur un tronçon limité à 50 km/h, ce qui justifierait à ses yeux, une atténuation de la sanction prononcée. Ce raisonnement revient à faire abstraction de la signalisation routière mise en place et à admettre que les limitations de vitesse fixées par l'autorité compétente peuvent être remises en cause. Or, les signaux sont juridiquement valables lorsqu'ils ont été placés à la suite d'une décision et d'une publication conformes de l'autorité compétente, visiblement exprimées sous la forme de la signalisation concrète (ATF 1C_526/2009 du 25 mars 2010 consid. 2; 126 II 196 consid. 2b et références; voir ég. arrêt CR.2009.0032 du 19 août 2009 consid. 3). Le Tribunal s'est certes écarté de sa jurisprudence en matière d'excès de vitesse en localité dans un cas où le panneau des 50 km/h était masqué par des branchages et n’était par conséquent pas visible, ceci dans un secteur qui, pour le surplus, ne pouvait pas être reconnu comme faisant partie d'une zone bâtie (tronçon rectiligne bordé de champs) (ATF 6A.11/2000 du 7 septembre 2000). Cette jurisprudence ne saurait toutefois être appliquée dans le cas d'espèce, dès lors que le recourant ne prétend pas que le panneau limitant la vitesse à 50 km/h n'était pas visible. C'est donc à raison que la décision querellée retient que le recourant a commis une infraction moyennement grave devant entraîner, conformément à l'art. 16b al. 2 let. a LCR, un retrait pour un mois au minimum.</w:t>
      </w:r>
    </w:p>
    <w:p>
      <w:r>
        <w:rPr>
          <w:b/>
        </w:rPr>
        <w:t>E. 6</w:t>
      </w:r>
    </w:p>
    <w:p>
      <w:r>
        <w:t>Les considérants qui précèdent conduisent au rejet du recours et au maintien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