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CR.2013.0056 vom 29. August 2013</w:t>
      </w:r>
    </w:p>
    <w:p>
      <w:r>
        <w:t>VD Tribunal cantonal, 2013-08-29, FR</w:t>
      </w:r>
    </w:p>
    <w:p>
      <w:r>
        <w:rPr>
          <w:b/>
        </w:rPr>
        <w:t xml:space="preserve">Quelle: </w:t>
      </w:r>
      <w:r>
        <w:t>https://mcp.opencaselaw.ch/entscheid/vd_omni_CR.2013.0056</w:t>
      </w:r>
    </w:p>
    <w:p>
      <w:r>
        <w:t>FR: VD_OMNI CR.2013.0056 du 29 août 2013</w:t>
      </w:r>
    </w:p>
    <w:p>
      <w:r>
        <w:t>IT: VD_OMNI CR.2013.0056 del 29 agosto 2013</w:t>
      </w:r>
    </w:p>
    <w:p>
      <w:pPr>
        <w:pStyle w:val="Heading2"/>
      </w:pPr>
      <w:r>
        <w:t>Regeste</w:t>
      </w:r>
    </w:p>
    <w:p>
      <w:r>
        <w:t>X.________/Service des automobiles et de la navigation | Automobiliste qui a commis un excès de vitesse de 26 km/h sur l'autoroute et qui a "talonné" le véhicule qui le précédait à moins de 2 mètres. Les conditions pour s'écarter des faits retenus par le juge pénal ne sont pas réunies. L'excès de vitesse doit être qualifié d'infraction légère et le "talonnement" d'infraction grave. Retrait de permis d'une durée de trois mois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LCR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voir ég. C. Mizel, Les nouvelles dispositions légales sur le retrait du permis de conduire, in RDAF 2004 p. 383).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 al. 1 let. a LCR). b) 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voir ég. arrêt 1C_502/2011 du 6 mars 2012 consid. 3.1).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ou enfin si à la même vitesse il suit sur 500 mètres un véhicule à une distance variant entre 5 et 10 mètres (arrêt 1C_274/210 du 7 octobre 2010). c)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123 II 106; ATF 124 II 97; ATF 124 II 259).</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Si les faits retenus au pénal lient donc en principe l'autorité et le juge administratifs, il en va différemment des questions de droit, en particulier de l'appréciation de la faute et de la mise en danger (arrêt 1C_353/2010 du 12 janvier 2011 consid. 2.1 et les références). b) En l'espèce, par ordonnance pénale du Ministère public de l'arrondissement du Nord vaudois du 16 juillet 2012, le recourant a été condamné pour avoir commis un excès de vitesse de 26 km/h sur l'autoroute et pour avoir talonné le véhicule qui le précédait à moins de deux mètres. L'intéressé n'a pas contesté cette décision, qui est entrée en force. Il soutient qu'on ne saurait le lui reprocher, car il ne savait pas qu'il ferait l'objet parallèlement d'une procédure de retrait de permis. Il ressort du dossier de l'autorité intimée que le recourant a été informé de l'ouverture d'une procédure administrative à son encontre par avis du 27 juillet 2012. Il n'est pas possible de déterminer si l'ordonnance pénale du 16 juillet 2012 était déjà entrée en force lorsqu'il a reçu cet avis. La mention "Définitif et exécutoire / L'atteste, le 16.08.12" n'est en effet pas très claire. On ne sait pas si la date indiquée est celle de l'entrée en force ou celle de l'apposition de la mention. Point n'est toutefois besoin d'instruire plus avant cette question, dès lors qu'il convient d'admettre que le recourant ne pouvait ignorer qu'il encourrait une mesure de retrait. En effet, l'intéressé n'en était pas à sa première infraction en matière de circulation routière, puisqu'il avait déjà fait l'objet en 2008 et 2009 de deux avertissements pour excès de vitesse. En outre, la qualification de l'infraction retenue par le juge pénal (violation "grave" des règles de la circulation routière) et la peine prononcée (une peine pécuniaire de 30 jours-amende ainsi qu'une amende de 1'200 fr.), qui est loin d'être modique (à la différence du cas ayant donné lieu à l'arrêt CR.2006.0279 du 23 février 2007), ne pouvaient lui faire croire qu'il n'y aurait pas de suite administrative. On relèvera encore que lors de son interrogatoire par les gendarmes, le recourante a déclaré: "Avant que vous m'arrêtiez, j'estime ma vitesse à 120-125 km/h et à 5-7 mètres du véhicule qui me précédait" . Or, même si l'on s'en tenait à cette version des faits, l'écart entre les deux véhicule resterait largement inférieur au seuil de 0,8 ou 0,6 seconde fixé par la jurisprudence pour le cas grave (0,21 seconde dans le cas le plus favorable au recourant). C'est dès lors à juste titre que le SAN ne s'est pas écarté de l'état de fait retenu par le juge pénal et qu'il a qualifié le "talonnement" litigieux d'infraction grave au sens de l'art. 16c al. 1 let. a LCR.</w:t>
      </w:r>
    </w:p>
    <w:p>
      <w:r>
        <w:rPr>
          <w:b/>
        </w:rPr>
        <w:t>E. 3</w:t>
      </w:r>
    </w:p>
    <w:p>
      <w:r>
        <w:t>Le recourant ne conteste pas avoir commis un excès de vitesse de 26 km/h sur autoroute. Au regard de la jurisprudence précitée, ce dépassement de vitesse constitue une infraction légère au sens de l'art. 16a al. 1 let. a LCR. Le recourant conteste en revanche fermement avoir talonné le véhicule qui le précédait à moins de deux mètres.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a) Après une infraction grave, le permis de conduire est retiré pour trois mois au minimum (art. 16c al. 2 let. a LCR). Après une infraction légère, il ne peut être renoncé au retrait du permis du conducteur fautif au profit d'un avertissement que si, au cours des deux années précédentes, le permis ne lui a pas été retiré et qu'aucune autre mesure administrative n'a été prononcée (art. 16a al. 2 et 3 LCR).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En l'espèce, le recourant s'est rendu coupable de deux infractions à la LCR. Le "talonnement" commis entraîne à lui seul un retrait de trois mois au moins. L'excès de vitesse commis en concours aurait pu justifier une aggravation de la peine, conformément à l'art. 49 du Code pénal suisse du 21 décembre 1937 applicable par analogie (arrêt CR.2008.0306 du 15 mai 2009, ainsi que les références). Le SAN s'est toutefois limité au minimum légal de trois mois, certainement pour tenir compte de l'utilité professionnelle que le recourant a de son permis. La décision attaquée ne peut dès lors qu'être confirmée.</w:t>
      </w:r>
    </w:p>
    <w:p>
      <w:r>
        <w:rPr>
          <w:b/>
        </w:rPr>
        <w:t>E. 5</w:t>
      </w:r>
    </w:p>
    <w:p>
      <w:r>
        <w:t>Les considérants qui précèdent conduisent au rejet du recours et à la confirmation de la décision attaquée. a) Compte tenu de ses ressources, le recourant a été mis au bénéfice de l'assistance judiciaire par décision du 10 juin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Marcel Paris peut être arrêtée, compte tenu de la liste des opérations produite, à 1'261 fr. 45, correspondant à 1'080 fr. d'honoraires, 88 fr. de débours et 93 fr. 45 de TVA (8%), que l'on peut arrondir à 1'265 francs. b) Les frais de justice, arrêtés à 600 fr. (art. 4 al. 1 2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