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CR.2013.0055 vom 12. September 2013</w:t>
      </w:r>
    </w:p>
    <w:p>
      <w:r>
        <w:t>VD Tribunal cantonal, 2013-09-12, FR</w:t>
      </w:r>
    </w:p>
    <w:p>
      <w:r>
        <w:rPr>
          <w:b/>
        </w:rPr>
        <w:t xml:space="preserve">Quelle: </w:t>
      </w:r>
      <w:r>
        <w:t>https://mcp.opencaselaw.ch/entscheid/vd_omni_CR.2013.0055</w:t>
      </w:r>
    </w:p>
    <w:p>
      <w:r>
        <w:t>FR: VD_OMNI CR.2013.0055 du 12 septembre 2013</w:t>
      </w:r>
    </w:p>
    <w:p>
      <w:r>
        <w:t>IT: VD_OMNI CR.2013.0055 del 12 settembre 2013</w:t>
      </w:r>
    </w:p>
    <w:p>
      <w:pPr>
        <w:pStyle w:val="Heading2"/>
      </w:pPr>
      <w:r>
        <w:t>Regeste</w:t>
      </w:r>
    </w:p>
    <w:p>
      <w:r>
        <w:t>X.________/Service des automobiles et de la navigation | Ordonnance pénale constatant que le recourant s'est rendu coupable de violation des règles de la circulation routière, en n'accordant pas la priorité à un usager de la route alors qu'il sortait d'une place de parc. Recourant qui s'oppose à l'ordonnance pénale mais est empêché de faire valoir ses arguments devant le juge pénal, celui-ci ayant refusé de le faire entrer vu qu'il s'était présenté à 9h05 pour une audience appointée à 9h00. Vu les circonstances dans lesquelles l'ordonnance pénale a été confirmée, le SAN ne pouvait pas s'appuyer uniquement sur cette ordonnance sans tenir compte des objections du recourant, pour établir les faits de la cause, d'autant plus que le recourant avait soulevé des éléments dignes d'intérêt. Admission du recours et renvoi du dossier de la cause à l'autorité intimée afin qu'elle en complète l'instruction, puis rende une nouvelle décision.</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(art. 79 LPA-VD, applicable par renvoi de l'art. 99 LPA-VD), de sorte qu'il y a lieu d'entrer en matière sur le fond.</w:t>
      </w:r>
    </w:p>
    <w:p>
      <w:r>
        <w:rPr>
          <w:b/>
        </w:rPr>
        <w:t>E. 2</w:t>
      </w:r>
    </w:p>
    <w:p>
      <w:r>
        <w:t>Les faits de la cause sont litigieux. a) A son chapitre II consacré aux règles générales de procédure, la LPA-VD régit le contenu des décisions administratives en prévoyant notamment ce qui suit : " Art. 42 - Contenu La décision contient les indications suivantes : a.  le nom de l'autorité qui a statué et sa composition s'il s'agit d'une autorité collégiale;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Pour rendre une décision conforme à l'art. 42 LPA-VD, l'autorité doit établir clairement les faits en procédant d'office ( principe inquisitoire , cf. art. 28 LPA-VD). Il revient ainsi à l'autorité de définir les faits pertinents et de ne tenir pour existants que ceux qui sont dûment prouvés (cf. Pierre Moor / Etienne Poltier, Droit administratif, vol. II, 3e éd., Berne 2011, p. 292 s.). Le législateur, en adoptant la LPA-VD, a substitué au recours direct au Tribunal cantonal une procédure de réclamation préalable (art. 66 ss LPA-VD), notamment au SAN, dans le but de garantir qu'en cas de recours, le tribunal puisse se fonder sur une décision complètement motivée (Exposé des motifs du Conseil d'Etat, page 38 du tiré à part, commentaire général de la section 3 relative à la réclamation). La décision sur réclamation ne devrait guère différer des arrêts que le Tribunal administratif, jusqu'en 2008, puis la Cour de droit administratif du Tribunal cantonal rendaient. Cette exigence légale ne s'accommode notamment pas d'un état de fait rédigé de manière automatique à partir d'une base de données informatisée décrivant l'infraction en style télégraphique (arrêt CR.2009.0015 du 3 juin 2009 consid. 1b). b)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2.4</w:t>
      </w:r>
    </w:p>
    <w:p>
      <w:r>
        <w:t>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voir ég. arrêt 1C_502/2011 du 6 mars 2012 consid. 2.1). Si les faits retenus au pénal lient donc en principe l'autorité et le juge administratifs, il en va différemment des questions de droit, en particulier de l'appréciation de la faute et de la mise en danger (arrêt 1C_353/2010 du 12 janvier 2011 consid. 2.1 et les références). c) En l’occurrence, il apparaît que plusieurs éléments de fait n’ont pas pu être invoqués par le recourant devant le juge pénal. En effet, le Président du Tribunal de police de l’arrondissement de l’est vaudois a rendu le 23 janvier 2013 un jugement retenant que le recourant ne s’était pas excusé et ne s’était pas fait représenter à l’audience, de sorte que son opposition était réputée retirée. Le jugement mentionne que l’audience était appointée à 9h00 et qu’elle a été levée à 9h06. Le recourant a par la suite expliqué qu’il s’était présenté à 9h05, soit effectivement avec cinq minutes de retard, et que le président avait refusé de le faire entrer dans la salle d’audience. Une telle manière de faire n'est que difficilement soutenable et confine au formalisme excessif, d’autant que l’audition d’un témoin était programmée à 9h25 et que, selon le recourant, cette personne est arrivée au tribunal en compagnie du recourant à 9h05. Dès lors que ce dernier a été empêché de faire valoir ses arguments devant l’autorité pénale, il faut considérer que l’on ne se trouve pas dans une situation dans laquelle les faits constatés par cette autorité lient l’autorité administrative. Le SAN ne pouvait par conséquent pas s’appuyer uniquement sur l’ordonnance pénale, sans tenir compte des objections du recourant, pour établir les faits de la cause, d’autant plus que le recourant avait soulevé des éléments apparemment dignes d’intérêt, notamment la production d’une photographie démontrant qu’il n’avait pas été percuté sur le flanc mais à l’arrière. En vertu du devoir d’instruction qui est le sien, l’autorité intimée aurait dû vérifier les faits pertinents pour la cause. La décision n'est donc pas conforme ni l'art. 42 LPA-VD ni à l’art. 28 al. 1 LPA-VD. Or il n'appartient pas au tribunal de céans de reconstituer, comme s'il était l'instance précédente, l'état de fait ou la motivation qu'aurait dû comporter la décision attaquée (cf. par exemple arrêt PE.2010.0453 du 20 avril 2011 consid. 4c/cc et la référence). Il se justifie dans ces conditions d’admettre le recours et de renvoyer le dossier de la cause à l'autorité intimée afin qu'elle en complète l'instruction, puis rende une nouvelle décision.</w:t>
      </w:r>
    </w:p>
    <w:p>
      <w:r>
        <w:rPr>
          <w:b/>
        </w:rPr>
        <w:t>E. 3</w:t>
      </w:r>
    </w:p>
    <w:p>
      <w:r>
        <w:t>a) Aux termes de l’art. 36 al. 4 LCR, le conducteur qui veut engager son véhicule dans la circulation, faire demi-tour ou marche arrière ne doit pas entraver les autres usagers de la route; ces derniers bénéficient de la priorité. Selon l’art. 15 al. 3 de l’ordonnance du 13 novembre 1962 sur les règles de la circulation routière (OCR; RS 741.11),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au besoin, il doit avoir recours à l'aide d'une tierce personne, qui surveillera la manœuvre. Selon l’art. 26 al. 1 LCR, chacun doit se comporter, dans la circulation, de manière à ne pas gêner ni mettre en danger ceux qui utilisent la route conformément aux règles établies. b) Consacré par la jurisprudence, le principe de la confiance, déduit de l’art. 26 al. 1 LCR, implique, en particulier pour le conducteur qui doit s’engager sur une route principale, que si le trafic lui permet de s’engager sans gêner un véhicule prioritaire, on ne puisse lui reprocher aucune violation du droit de priorité s’il entrave malgré tout la progression du prioritaire en raison d’un comportement imprévisible de ce dernier (ATF 6S.457/2004 du 21 mars 2005; 103 IV 294 consid. 3 p. 296). C’est ainsi que l’usager qui s’engage dans une intersection à mauvaise visibilité n’a pas à compter, sauf indice contraire, avec le fait qu’un véhicule va surgir de façon inopinée à une vitesse excessive (ATF 6S.457/2004 précité; ATF 118 IV 277 consid. 5b p. 283 s., JT 1993 IV 703). Ainsi, aucune faute ne peut être reprochée à l'automobiliste qui s'est engagé sur une voie "par tâtonnement" en raison d'une mauvaise visibilité, qui a fait preuve de la prudence requise par les circonstances et qui s'est arrêté aussitôt qu'il a aperçu le véhicule prioritaire (v. CR.2006.0494 du 13 septembre 2007). Toutefois, dans l’optique d’une règle de priorité claire, le Tribunal fédéral a rappelé que l’on ne saurait admettre facilement que le débiteur de la priorité n’a pas à compter avec le passage, respectivement l’entrave d’un prioritaire. Son devoir, plus particulièrement dans les intersections dépourvues de visibilité, est d’avoir égard au fait qu’un véhicule prioritaire peut surgir à une vitesse excessive ou déboucher sur sa moitié gauche de la route (ATF 98 IV 279 consid. 1d p. 285 s.). Seul celui qui s’est comporté de manière conforme aux règles de la circulation peut invoquer le principe de la confiance (ATF 6S.457/2004 précité; 120 IV 252 consid. 2d/aa p. 254, JT 1994 I 689; 100 IV 186 consid. 3 p. 189). c) Pour déterminer la portée des art. 36 al. 4 et 26 al. 1 LCR dans la présente affaire, il conviendra que l’autorité instruise notamment sur les éléments suivants: - où était située la place de parc dont sortait le recourant ? - dans quel sens le recourant était-il garé ? - de quelle visibilité disposait-il en sortant de ladite place de parc ? - quelle distance le recourant avait-il déjà parcouru sur la route de la Conversion lorsqu’il a été percuté par l’arrière ? - le conducteur de la voiture ayant percuté le recourant était-il effectivement au téléphone au moment de l’accident ?</w:t>
      </w:r>
    </w:p>
    <w:p>
      <w:r>
        <w:rPr>
          <w:b/>
        </w:rPr>
        <w:t>E. 4</w:t>
      </w:r>
    </w:p>
    <w:p>
      <w:r>
        <w:t>Au vu de ce qui précède, le recours doit être admis et la décision du SAN du 22 mai 2013 annulée; le dossier est renvoyé au SAN pour instruction et nouvelle décision dans le sens des considérants. Le présent arrêt est rendu sans frais ni dépens (art. 45 al. 1 LPA-VD,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