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CR.2013.0053 vom 21. August 2013</w:t>
      </w:r>
    </w:p>
    <w:p>
      <w:r>
        <w:t>VD Tribunal cantonal, 2013-08-21, FR</w:t>
      </w:r>
    </w:p>
    <w:p>
      <w:r>
        <w:rPr>
          <w:b/>
        </w:rPr>
        <w:t xml:space="preserve">Quelle: </w:t>
      </w:r>
      <w:r>
        <w:t>https://mcp.opencaselaw.ch/entscheid/vd_omni_CR.2013.0053</w:t>
      </w:r>
    </w:p>
    <w:p>
      <w:r>
        <w:t>FR: VD_OMNI CR.2013.0053 du 21 août 2013</w:t>
      </w:r>
    </w:p>
    <w:p>
      <w:r>
        <w:t>IT: VD_OMNI CR.2013.0053 del 21 agosto 2013</w:t>
      </w:r>
    </w:p>
    <w:p>
      <w:pPr>
        <w:pStyle w:val="Heading2"/>
      </w:pPr>
      <w:r>
        <w:t>Regeste</w:t>
      </w:r>
    </w:p>
    <w:p>
      <w:r>
        <w:t>X.________/Service des automobiles et de la navigation | Réclamation manifestement tardive contre une décision du SAN. Les motifs invoqués par la recourante pour expliquer son retard ne constituent pas des empêchements non fautifs au sens de l'art. 22 LPA-VD. C'est ainsi à juste titre que le SAN a déclaré irrecevable la réclamation de l'intéressée.</w:t>
      </w:r>
    </w:p>
    <w:p>
      <w:pPr>
        <w:pStyle w:val="Heading2"/>
      </w:pPr>
      <w:r>
        <w:t>Erwägungen</w:t>
      </w:r>
    </w:p>
    <w:p>
      <w:r>
        <w:rPr>
          <w:b/>
        </w:rPr>
        <w:t>E. 1</w:t>
      </w:r>
    </w:p>
    <w:p>
      <w:r>
        <w:t>Le Tribunal cantonal examine d'office la recevabilité des actes qui lui sont soumis. a) Aux termes de l’art. 83 de la loi vaudoise d’organisation judiciaire du 12 décembre 1979 (LOJV; RS 173.01), la compétence de la Cour de droit administratif et public est définie par l'art. 92 de la loi vaudoise du 28 octobre 2008 sur la procédure administrative (LPA-VD; RSV 173.36), à teneur duquel le Tribunal cantonal connaît des recours contre les décisions et décisions sur recours rendues par les autorités administratives, lorsque la loi ne prévoit aucune autre autorité pour en connaître. L’art. 3 al. 1 LPA-VD précise qu’est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 Sont également des décisions les décisions incidentes, les décisions sur réclamation ou sur recours, les décisions en matière d'interprétation ou de révision (al. 2). Une décision au sens de l'alinéa 1, lettre b), ne peut être rendue que si une décision au sens des lettres a) ou c) ne peut pas l'être (al. 3).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b) En l'espèce, la recourante s'oppose tout d'abord à la décision du SAN du 5 mai 2013, déclarant irrecevable la réclamation déposée contre la décision du SAN du 25 septembre 2012. Cet acte constitue incontestablement une décision au sens de l'art. 3 LPA-VD. Déposé pour le surplus dans le délai et les formes prévus, le recours en tant qu'il est dirigé contre cette décision du 5 mai 2013 est recevable. La recourante conteste également l'avis du SAN du 6 mai 2013, l'informant que le délai de six mois étant écoulé, elle pouvait à nouveau en tout temps entamer les démarches en vue de recouvrer le droit de conduire un véhicule automobile, aux conditions qui lui sont imposées. Il est exact que cet avis du 6 mai 2013 est en contradiction avec la décision du 21 septembre 2012, qui fixait des conditions à la restitution de l'autorisation de conduire délivrée à la recourante, alors que l'avis parle du dépôt d'une demande de permis d'élève conducteur. Cela étant, en tant que tel, cet avis ne constitue pas une décision au sens de l'art. 3 al. 1 LPA-VD. Il s'agit juste d'une information donnée à la recourante. Il n'est partant pas susceptible de recours. Le recours en tant qu'il porte sur cet avis du 6 mai 2013 est dès lors irrecevable. Ce n'est que lorsque l'autorité intimée aura à se prononcer sur une demande formelle de restitution du permis de conduire de la recourante que cette dernière pourra, si elle l'entend, contester la décision de l'autorité intimée.</w:t>
      </w:r>
    </w:p>
    <w:p>
      <w:r>
        <w:rPr>
          <w:b/>
        </w:rPr>
        <w:t>E. 2</w:t>
      </w:r>
    </w:p>
    <w:p>
      <w:r>
        <w:t>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La portée de cette disposition est analogue, mutatis mutandis , à celle de l'art. 50 al. 1 de la loi fédérale du 17 juin 2005 sur le Tribunal fédéral (LTF; RS 173.110 – voir ATF 1D_7/2009 du 16 novembre 2009 consid. 4 et les références). Par empêchement non fautif, il faut entendre non seulement l'impossibilité objective, comme la force majeure, mais également l'impossibilité subjective due à des circonstances personnelles ou à une erreur excusable (ATF 4A_215/2008 du 23 septembre 2008 consid. 7.1 et les références). La partie qui requiert la restitution du délai doit établir l'absence de toute faute de sa part, étant réputée non fautive toute circonstance qui aurait empêché un plaideur consciencieux d'agir dans le délai fixé (arrêt FI.2011.0046 du 4 octobre 2011 consid. 2a et les références). Une atteinte à la santé peut constituer un tel empêchement non fautif à la condition qu'elle n'ait pas permis à l'intéressé non seulement d'agir personnellement dans le délai imparti, mais encore de charger un tiers d'accomplir les actes de procédure nécessaires, en l'empêchant de ressentir la nécessité d'une représentation (arrêt GE.2009.0221 du 27 janvier 2010 consid. 2a et les références). b) En l'espèce, la recourante indique ne pas avoir compris qu'elle devait contester la décision du 21 septembre 2012. Elle paraît aussi se prévaloir de problèmes de santé, relatifs aux suites d'une prise de sang (hématome). A l'évidence, ces motifs ne constituent pas des causes d'impossibilité – objective ou subjective – au sens des principes rappelés ci-dessus. Le fait que la recourante n'aurait pas compris qu'elle devait s'opposer à la décision entreprise, dont le contenu lui a selon ses explications été lu par sa mère au téléphone, ne constitue pas un empêchement au sens de l'art. 22 LPA-VD. Quant aux motifs d'ordre médical invoqués, on ne discerne pas pourquoi ils auraient empêché la recourante d'agir dans le délai de réclamation. Tout d'abord, l'attestation médicale produite par la recourante fait état d'une prise de sang effectuée le 29 août 2012 et d'hématomes consécutifs à cette prise de sang qui auraient été présents durant une quinzaine de jours. Ainsi, dans tous les cas, ces motifs d'ordre médical et leurs conséquences ont pris fin avant la décision du 21 septembre 2012. Par ailleurs, de par leur nature même, il paraît douteux que de tels hématomes aient été de nature à empêcher la recourante de former une réclamation dans le délai imparti à cet effet. Pour le surplus, la recourante ne produit aucun autre certificat médical attestant d'un empêchement d'agir et de faire valoir ses droits devant l'autorité intimée. Il résulte de ce qui précède que formée le 17 décembre 2012 contre une décision du 21 septembre 2012, la réclamation de la recourante était clairement tardive, le délai de réclamation de 30 jours étant largement dépassé à la date du dépôt de l'acte de la recourante. C'est partant à juste titre que l'autorité intimée a prononcé l'irrecevabilité de cette réclamation.</w:t>
      </w:r>
    </w:p>
    <w:p>
      <w:r>
        <w:rPr>
          <w:b/>
        </w:rPr>
        <w:t>E. 3</w:t>
      </w:r>
    </w:p>
    <w:p>
      <w:r>
        <w:t>Les considérants qui précèdent conduisent au rejet du recours dans la mesure où il est recevable. La recourante, qui succombe, supportera les frais de justice (art. 49 al. 1 et 91 LPA-VD). Il n'y a pas lieu d'allouer de dépens (art. 55 al. 1 a contrario ,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