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CR.2013.0050 vom 29. August 2013</w:t>
      </w:r>
    </w:p>
    <w:p>
      <w:r>
        <w:t>VD Tribunal cantonal, 2013-08-29, FR</w:t>
      </w:r>
    </w:p>
    <w:p>
      <w:r>
        <w:rPr>
          <w:b/>
        </w:rPr>
        <w:t xml:space="preserve">Quelle: </w:t>
      </w:r>
      <w:r>
        <w:t>https://mcp.opencaselaw.ch/entscheid/vd_omni_CR.2013.0050</w:t>
      </w:r>
    </w:p>
    <w:p>
      <w:r>
        <w:t>FR: VD_OMNI CR.2013.0050 du 29 août 2013</w:t>
      </w:r>
    </w:p>
    <w:p>
      <w:r>
        <w:t>IT: VD_OMNI CR.2013.0050 del 29 agosto 2013</w:t>
      </w:r>
    </w:p>
    <w:p>
      <w:pPr>
        <w:pStyle w:val="Heading2"/>
      </w:pPr>
      <w:r>
        <w:t>Regeste</w:t>
      </w:r>
    </w:p>
    <w:p>
      <w:r>
        <w:t>X.________/Service des automobiles et de la navigation | Le recourant qui a commis une nouvelle infraction grave (conduite en état d'ébriété qualifié) moins de 5 ans après s'être vu restituer son permis de conduire qui lui avait déjà été retiré en raison d'une infraction grave (également conduite en état d'ébriété qualifié) se trouve en état de récidive; peu importe que la mesure de retrait du permis de conduire ait été prononcée après l'expiration du délai de 5 ans. Confirmation du retrait du permis de conduire pour une durée de douze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ne nie pas avoir conduit un véhicule automobile en état d'ébriété avec un taux d'alcool minimum de 0.92 ‰. Il ne conteste pas non plus s'être précédemment fait retirer son permis de conduire pour une durée de trois mois, soit jusqu'au 6 novembre 2007, en raison d'une infraction grave à la circulation routière. Il reproche par contre à l'autorité intimée d'avoir tenu compte de cette précédente infraction pour fixer la durée du retrait de son permis de conduire et de ne pas avoir pris en compte son besoin professionnel de conduire. a) Un taux d'alcool de 0,8 g ‰ ou plus est un taux réputé qualifié, constitutif d'une infraction grave à la circulation routière au sens de l'art. 16c al. 1 let. b LCR (cf. art. 55 al. 6 LCR et art. 1 er al. 2 de l'ordonnance du 21 mars 2003 de l'Assemblée fédérale concernant les taux d'alcoolémie limites admis en matière de circulation routière [RS 741.13]).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Le délai de récidive est compté à partir du jour où le conducteur est remis au bénéfice du droit de conduire à l'issue de l'exécution de la mesure de retrait (CR.2013.0028 du 15 avril 2013; CR.2013.0069 du 13 mars 2013 consid. 2b et références citées). b) En l'espèce, le recourant a conduit un véhicule automobile avec un taux d'alcool supérieur à 0,8 g ‰, ce qui est constitutif d'une infraction grave. Son permis de conduire lui avait déjà été retiré en raison d'une autre infraction grave pour une durée de trois mois. Cette mesure ayant pris fin le 6 novembre 2007, le délai de cinq ans doit être calculé à partir du 7 novembre 2007 et est dès lors arrivé à échéance le 7 novembre 2012, ce qui n'est pas contesté par le recourant. Le recourant fait par contre valoir que la nouvelle infraction qu'il a commise le 2 mai 2010 ne doit pas être considérée comme un cas de récidive, car, même si elle a eu lieu dans le délai de cinq ans, l'autorité intimée n'a prononcé la mesure de retrait du permis de conduire que le 4 décembre 2012, soit après l'expiration de ce délai. Ce raisonnement ne saurait être suivi. De jurisprudence constante, le moment décisif est celui de la commission de la nouvelle infraction. Le Tribunal fédéral l'a encore rappelé dans l'ATF 136 II 447 en relevant que, d'un point de vue technique, la récidive consiste à commettre une nouvelle infraction après avoir encouru antérieurement une condamnation définitive pour une autre infraction (cf. ancien art. 67 et art. 42 al. 2 CP). Ainsi, en droit de la circulation routière, un conducteur se trouve en état de récidive lorsqu'il commet un délit qui entraîne un retrait du permis obligatoire dans les cinq ans depuis la fin de l'exécution d'un précédent retrait. Le recourant ayant circulé au volant d'un véhicule en état d'ébriété qualifié le 2 mai 2010, soit moins de cinq ans après la fin du retrait de son permis de conduire pour une autre infraction grave, cette nouvelle infraction est bien constitutive d'une récidive et entraîne ainsi un retrait du permis de conduire d'une durée minimale de douze mois. c) Le recourant fait valoir le besoin professionnel qu’il a de son véhicule, lié aux déplacements réguliers qu’impliquent ses activités d'entrepreneur et de gérant d'un restaurant. Dès lors que la sanction, comme en l’espèce, correspond au minimum légal, il n’est pas possible de prendre ce besoin en compte (art. 16 al. 3 LCR). Il appartiendra au recourant de s’organiser d’une manière différente pour effectuer ses déplacements professionnels. d) Il résulte de ce qui précède que le SAN n'a pas violé le droit fédéral en rendant la décision contestée, de sorte que le recours doit être rejeté et cette décision confirmée.</w:t>
      </w:r>
    </w:p>
    <w:p>
      <w:r>
        <w:rPr>
          <w:b/>
        </w:rPr>
        <w:t>E. 3</w:t>
      </w:r>
    </w:p>
    <w:p>
      <w:r>
        <w:t>Les griefs du recourant étant manifestement mal fondés, il y a lieu de rendre une décision immédiate, sommairement motivée, sans autre mesure d'instruction (art. 82 LPA-VD, par renvoi de l'art. 99 LPA-VD).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