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CR.2013.0042 vom 23. September 2013</w:t>
      </w:r>
    </w:p>
    <w:p>
      <w:r>
        <w:t>VD Tribunal cantonal, 2013-09-23, FR</w:t>
      </w:r>
    </w:p>
    <w:p>
      <w:r>
        <w:rPr>
          <w:b/>
        </w:rPr>
        <w:t xml:space="preserve">Quelle: </w:t>
      </w:r>
      <w:r>
        <w:t>https://mcp.opencaselaw.ch/entscheid/vd_omni_CR.2013.0042</w:t>
      </w:r>
    </w:p>
    <w:p>
      <w:r>
        <w:t>FR: VD_OMNI CR.2013.0042 du 23 septembre 2013</w:t>
      </w:r>
    </w:p>
    <w:p>
      <w:r>
        <w:t>IT: VD_OMNI CR.2013.0042 del 23 settembre 2013</w:t>
      </w:r>
    </w:p>
    <w:p>
      <w:pPr>
        <w:pStyle w:val="Heading2"/>
      </w:pPr>
      <w:r>
        <w:t>Regeste</w:t>
      </w:r>
    </w:p>
    <w:p>
      <w:r>
        <w:t>X.________/Service des automobiles et de la navigation | Retrait de permis d'admonestation. Lorsque le recourant a reçu la sentence pénale, il savait qu'il ferait l'objet d'une procédure de retrait de permis. Il a néanmoins omis de faire valoir ses moyens dans la procédure pénale, par la voie de l'opposition, de sorte que les faits retenus au pénal - notamment l'excès de vitesse constaté de 37 km/h sur autoroute - lient l'autorité administrative. Aucune circonstance exceptionnelle ne permet de déroger à ce principe. Le recourant affirme certes qu'il ignorait, au moment où une opposition était encore possible, que la vitesse de son véhicule avait été constatée non pas par un radar fixe, mais par un véhicule suiveur (qui doit respecter des modalités de mesure très particulières). Il ressort toutefois du dossier que le recourant a signé lors de son interpellation le protocole de relevé de vitesse, lequel indiquait clairement que la vitesse avait été établie par un véhicule suiveur. Dans ces circonstances par ailleurs, le refus du SAN de produire la vidéo d'enregistrement ne viole pas le droit d'être entendu du recourant (c. 1).</w:t>
      </w:r>
    </w:p>
    <w:p>
      <w:pPr>
        <w:pStyle w:val="Heading2"/>
      </w:pPr>
      <w:r>
        <w:t>Erwägungen</w:t>
      </w:r>
    </w:p>
    <w:p>
      <w:r>
        <w:rPr>
          <w:b/>
        </w:rPr>
        <w:t>E. 1</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 Si les faits retenus au pénal lient donc en principe l'autorité et le juge administratifs, il en va différemment des questions de droit, en particulier de l'appréciation de la faute et de la mise en danger (ATF 1C_353/2010 du 12 janvier 2011 consid. 2.1 et les références). b) En l'espèce, la sentence pénale a été notifiée le 28 janvier 2013, à l'issue d'une procédure sommaire fondée uniquement sur le rapport de police (sans audition du recourant ni visionnement de l'enregistrement vidéo de la gendarmerie). A ce moment-là toutefois, le recourant savait qu'il ferait l'objet d'une procédure de retrait de permis. Il avait en effet reçu le courrier du SAN du 15 janvier 2013 qui lui indiquait clairement qu'il envisageait de prononcer une mesure de retrait du permis de conduire à son encontre. Dans ces conditions, et conformément à la jurisprudence, le recourant aurait dû faire valoir ses moyens dans le cadre de la procédure pénale, par la voie de l'opposition. Le recourant ayant omis d'agir en ce sens, les faits retenus au pénal lient par conséquent l'autorité administrative. En ce sens, il sied de retenir, sur le principe, que le recourant a circulé le 12 décembre 2012 à la vitesse de 157 km/h sur l'autoroute. L'excès de vitesse est ainsi de 37 km/h. c) Il reste à examiner si des circonstances exceptionnelles permettent de déroger au principe précité. Le recourant expose qu'il n'a pas contesté l'ordonnance pénale du 28 janvier 2013 au motif qu'il pensait, en substance, que la vitesse avait été constatée par un radar fixe. Il prétend qu'il se serait opposé à l'ordonnance pénale s'il avait su que la vitesse avait été déterminée par un véhicule suiveur. Il rappelle à cet égard que pour qu'une telle mesure soit fiable, elle doit respecter des modalités très particulières. En effet, l'annexe 1 de l'ordonnance du 22 mai 2008 de l'OFROU concernant l'ordonnance sur le contrôle de la circulation routière (OOCCR-OFROU; RS 741.013.1) prescrit non seulement que la vitesse soit calculée sur la moyenne de toute la longueur du tronçon mesuré, mais encore que la distance séparant les véhicules soit plus grande à la fin qu'au début. Or, d'une part, il n'avait découvert que sa vitesse avait été mesurée non pas par un radar fixe, mais par un véhicule suiveur, qu'en consultant le dossier du SAN en vue d'une réclamation contre la décision de retrait de permis du 18 février 2013, alors que le délai d'opposition de 10 jours sur le plan pénal était échu. D'autre part, de son avis, le véhicule de police l'ayant contrôlé n'avait eu de cesse de se rapprocher avant de lui faire signe de s'arrêter. La production de la vidéo d'enregistrement était ainsi indispensable à contrôler cet élément décisif. Il dénonce une constatation inexacte et incomplète des faits, une violation de son droit d'être entendu (le SAN ayant refusé de produire la vidéo réalisée par la gendarmerie), ainsi qu'une violation de l'annexe 1 OOCCR-OFROU et de l'art. 16c LCR. Conformément à ce qui résulte de la partie en fait supra (let. B), le recourant a apposé sa signature, lors de son interpellation par la gendarmerie, sur le protocole de relevé de vitesse, lequel indiquait clairement que la vitesse avait été établie non pas par un radar fixe, mais par un véhicule suiveur (cf. mention d'une vidéo, de la distance du relevé et de la durée du relevé notamment). Il en ressort que l'intéressé connaissait ou ne pouvait ignorer au moment de son interpellation la méthode utilisée pour constater l'excès de vitesse qui lui est reproché. Le principe de la bonne foi voulait dès lors qu'il requiert, au plus tard dans le cadre de la procédure pénale, au besoin par la voie de l'opposition, les mesures d'instruction qu'il sollicite aujourd'hui. Ne l'ayant pas fait, il est réputé y avoir renoncé en toute connaissance de cause. d) En conséquence, c'est ainsi à juste titre que l'autorité intimée a considéré que la vitesse de 157 km/h retenue par l'ordonnance pénale avait été établie à satisfaction de droit et qu'elle a refusé de donner suite à la requête du recourant tendant à la production de l'enregistrement vidéo des faits. Les griefs de constatation inexacte et incomplète des faits, ainsi que de violation du droit d'être entendu et de violation de l'annexe 1 OOCCR-OFROU doivent ainsi être écartés.</w:t>
      </w:r>
    </w:p>
    <w:p>
      <w:r>
        <w:rPr>
          <w:b/>
        </w:rPr>
        <w:t>E. 2</w:t>
      </w:r>
    </w:p>
    <w:p>
      <w:r>
        <w:t>a) Aux termes de l'art. 16 al. 2 LCR, lorsque la procédure prévue par la loi fédérale du 24 juin 1970 sur les amendes d’ordre (OAO; RS 741.031)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Toutefois, si dans les cinq années précédentes, le permis avait déjà été retiré une fois en raison d'une infraction grave, ou à deux reprises, en raison d'infractions moyennement graves, le permis est retiré pour douze mois au minimum (art. 16c al. 2 let. c LCR). c) Afin d’assurer l’égalité de traitement entre les conducteurs, la jurisprudence a été amenée à fixer des règles précises dans le domaine des excès de vitesse (voir, pour un récent récapitulatif, l'ATF 1C_83/2008 du 16 octobre 2008).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124 II 259 consid. 2b p. 261 s.). Il est en revanche de moyenne gravité lorsque le dépassement de la vitesse autorisée est, respectivement, de 21 à 24 km/h (ATF 126 II 196 consid. 2a p. 199), de 26 à 29 km/h et de 31 à 34 km/h (ATF 128 II 131 consid. 2 p. 132 s., traduit et résumé in RDAF 2003 I, p. 549). Ces chiffres s'appliquent lorsque les conditions de circulation sont favorables et que le conducteur jouit d'une bonne réputation en tant qu'automobiliste; il n'est dès lors nullement exclu de faire preuve d'une sévérité plus grande en fonction des circonstances concrètes (ATF 1C_81/2007 du 31 octobre 2007 consid. 4; 124 II 475 consid. 2a p. 477). Une moindre sévérité peut être justifiée par des circonstances exceptionnelles, telles que celles susceptibles d'entraîner une application analogique de l'art. 66bis CP (actuellement art. 54 CP) ou une erreur compréhensible sur la vitesse autorisée (ATF 124 II 475; 126 II 196; cf. aussi Cédric Mizel, Les nouvelles dispositions légales sur le retrait du permis de conduire, RDAF 2004 I, p. 384 s ). d) Les circonstances personnelles ne peuvent être prises en considération que pour décider de la durée du retrait, et non de la mesure elle-même, dont le prononcé est subordonné aux critères fixés par la loi et la jurisprudence. Aussi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Dans les cas d'application de l'art. 16c LCR, il n'est pas possible, même dans des circonstances particulières, de retirer le permis de conduire pour une durée inférieure aux durées minimales prévues par cette disposition (ATF 6A.100/2006 du 28 mars 2007 consid. 4 et 132 II 234 consid. 2 p. 237). En effet, selon la jurisprudence du Tribunal fédéral,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LCR du 31 mars 1999, FF 1999 IV 4131; ATF 132 II 234 consid. 2.3 p. 236 s.).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 voir pour une récapitulation générale ATF 1C_83/2008 précité). e) En l’occurrence, le recourant a, le 12 décembre 2012, dépassé de 37 km/h la vitesse maximale générale autorisée sur l'autoroute (marge de sécurité déduite). Ce faisant, il a commis, selon la jurisprudence précitée, une infraction grave au sens de l'art. 16c al. 1 let. a LCR. Il apparaît par ailleurs que dans les cinq années précédant le 12 décembre 2012, le recourant a fait l'objet d'une interdiction de conduire en Suisse d'une durée de quatre mois, dont l'exécution s'est terminée le 1 er octobre 2008, pour infraction grave. Cela étant, le recourant tombe ainsi sous le coup de l'art. 16c al. 2 let. c LCR à raison d'une nouvelle infraction grave dans le délai de cinq ans à compter de la date de la fin de l'exécution de la précédente mesure. En conséquence, son permis doit lui être retiré pour douze mois au minimum en application de cette disposition. f) En conclusion, la décision attaquée, qui s'en tient au minimum légal de l'art. 16c al. 2 let. c LCR, ne peut qu'être confirmée, quelle que soit l'utilité professionnelle que revêt pour le recourant son permis de conduire.</w:t>
      </w:r>
    </w:p>
    <w:p>
      <w:r>
        <w:rPr>
          <w:b/>
        </w:rPr>
        <w:t>E. 3</w:t>
      </w:r>
    </w:p>
    <w:p>
      <w:r>
        <w:t>Les considérants qui précèdent conduisent au rejet du recours aux frais du recourant qui succombe et qui, vu l'issue de son pourvoi, n'a pas droit à l'allocation de dépens. Le SAN est chargé de fixer une nouvelle période d'exécution du retrait de permis.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