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CR.2013.0027 vom 28. Mai 2014</w:t>
      </w:r>
    </w:p>
    <w:p>
      <w:r>
        <w:t>VD Tribunal cantonal, 2014-05-28, FR</w:t>
      </w:r>
    </w:p>
    <w:p>
      <w:r>
        <w:rPr>
          <w:b/>
        </w:rPr>
        <w:t xml:space="preserve">Quelle: </w:t>
      </w:r>
      <w:r>
        <w:t>https://mcp.opencaselaw.ch/entscheid/vd_omni_CR.2013.0027</w:t>
      </w:r>
    </w:p>
    <w:p>
      <w:r>
        <w:t>FR: VD_OMNI CR.2013.0027 du 28 mai 2014</w:t>
      </w:r>
    </w:p>
    <w:p>
      <w:r>
        <w:t>IT: VD_OMNI CR.2013.0027 del 28 maggio 2014</w:t>
      </w:r>
    </w:p>
    <w:p>
      <w:pPr>
        <w:pStyle w:val="Heading2"/>
      </w:pPr>
      <w:r>
        <w:t>Regeste</w:t>
      </w:r>
    </w:p>
    <w:p>
      <w:r>
        <w:t>X.________/Service des automobiles et de la navigation | En suivant sur environ 400 mètres sur la voie de gauche de l'autoroute le véhicule qui le précédait, à une distance de 10 mètres et à une vitesse de 109 km/h, ce qui correspond à un intervalle de 0.33 seconde, le recourant a commis une faute grave. Il allègue que la police cantonale bernoise l'aurait volontairement poussé à commettre l'infraction en le dépassant sur l'autoroute puis en ralentissant. Les deux agents dénonciateurs ont été entendus lors d'une audience et le tribunal a visionné l'enregistrement vidéo. Pas de raisons de mettre en doute doute leurs déclarations selon lesquelles ils suivaient un véhicule de marque Volvo pour déterminer s'il était en infraction pour excès de vitesse lorsqu'ils ont été rattrapés par le véhicule du recourant qui les suivait de très près. Ils ont alors fait fonctionner la caméra située à l'arrière du véhicule de police banalisé. Ces déclarations ont été corroborées par l'engregistrement vidéo. Le retrait du permis de conduire pour une durée de 3 mois correspond au minimum légal.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Il convient d’examiner si l'autorité intimée a considéré à juste titre que le recourant avait commis une infraction grave à la loi fédérale sur la circulation routière (LCR ; RS 741.01).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Il est toutefois retiré pour six mois au minimum si, au cours des cinq années précédentes, le permis a été retiré une fois en raison d’une infraction moyennement grave (art. 16c al. 2 let. b LCR). b) 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(ATF 6A.97/2006 du 23 avril 2007)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et aussi dans un cas dans lequel le conducteur avait suivi à une vitesse de 100 km/h environ, sur 500 mètres, le véhicule qui le précédait, à une distance située entre 5 et 10 mètres ( arrêt du 7 octobre 2010 dans la cause 1C_274/2010).</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le Procureur du canton de Berne a retenu dans son ordonnance du 30 août 2012 que le recourant s’était rendu coupable d’une violation grave d’une règle de circulation en ne respectant pas, sur semi-autoroute ou autoroute, une distance suffisante par rapport au véhicule qui le précédait. Il a précisé que l’intervalle entre les deux véhicules était de 0.5 seconde. Il n’a en revanche pas indiqué à quelle vitesse ni à quelle distance du véhicule le précédant le recourant circulait. Il n’y a aucune raison de penser que le procureur s’est écarté des constatations de fait retenues dans le rapport de police. Si le recourant désapprouvait ces faits, il lui appartenait de faire valoir ses moyens dans le cadre de la procédure pénale, conformément à la jurisprudence précitée. Les deux agents dénonciateurs ont été entendus lors de l’audience du 30 avril 2014. Ils ont été formels sur leur positionnement lors du contrôle litigieux : ils suivaient un véhicule zurichois, qui roulait un peu trop vite, et sont restés derrière celui-ci, raison pour laquelle ils ne se sont pas rabattus sur la voie de droite. De par ce positionnement, ils ont pu contrôler la distance de sécurité entre leur véhicule et celui du recourant. Il n’y a pas lieu de mettre en doute leurs déclarations, qui ont de surcroît été corroborées par l’enregistrement vidéo que le tribunal et les parties ont pu visionner.</w:t>
      </w:r>
    </w:p>
    <w:p>
      <w:r>
        <w:rPr>
          <w:b/>
        </w:rPr>
        <w:t>E. 3</w:t>
      </w:r>
    </w:p>
    <w:p>
      <w:r>
        <w:t>Le recourant admet avoir circulé à une distance insuffisante du véhicule qui le précédait. Il conteste en revanche les faits retenus par l’autorité intimée et allègue que la Police cantonale bernoise l’aurait volontairement poussé à commettre l’infraction.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Il reste à qualifier l'infraction commise. En circulant à une vitesse de 109 km/h à une distance d’environ dix mètres du véhicule qui le précédait sur 400 mètres, le recourant n'a laissé qu'un intervalle de 0.33 seconde. Un tel écart est bien inférieur au seuil de 0.8 ou 0.6 seconde fixé par la jurisprudence pour le cas grave. C’est donc à juste titre que la décision querellée retient que le recourant a commis une infraction grave. Le permis doit donc lui être retiré pour une durée minimale de trois mois (art. 16c al. 2 let. a LCR). Il n’est pas nécessaire d’examiner la pertinence du besoin professionnel du permis de conduire pour le recourant ni de tenir compte de son absence d’antécédents, puisqu’il n’est de toute façon pas possible de réduire la durée de la mesure prononcée par le SAN à son encontre (art. 16 al. 3 LCR). Selon la jurisprudence, une interprétation de l’art. 16c LCR dans le sens d’un traitement différencié en faveur des chauffeurs professionnels est exclue, le législateur n’entendant pas qu’il puisse être dérogé aux durées minimales de retrait prévues en faveur de certaines catégories de chauffeurs particulièrement touchées par ce genre de mesure (ATF 132 II 234 consid. 2).</w:t>
      </w:r>
    </w:p>
    <w:p>
      <w:r>
        <w:rPr>
          <w:b/>
        </w:rPr>
        <w:t>E. 5</w:t>
      </w:r>
    </w:p>
    <w:p>
      <w:r>
        <w:t>Le recours doit ainsi être rejeté et la décision attaquée maintenue.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