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CR.2013.0026 vom 13. Juni 2013</w:t>
      </w:r>
    </w:p>
    <w:p>
      <w:r>
        <w:t>VD Tribunal cantonal, 2013-06-13, FR</w:t>
      </w:r>
    </w:p>
    <w:p>
      <w:r>
        <w:rPr>
          <w:b/>
        </w:rPr>
        <w:t xml:space="preserve">Quelle: </w:t>
      </w:r>
      <w:r>
        <w:t>https://mcp.opencaselaw.ch/entscheid/vd_omni_CR.2013.0026</w:t>
      </w:r>
    </w:p>
    <w:p>
      <w:r>
        <w:t>FR: VD_OMNI CR.2013.0026 du 13 juin 2013</w:t>
      </w:r>
    </w:p>
    <w:p>
      <w:r>
        <w:t>IT: VD_OMNI CR.2013.0026 del 13 giugno 2013</w:t>
      </w:r>
    </w:p>
    <w:p>
      <w:pPr>
        <w:pStyle w:val="Heading2"/>
      </w:pPr>
      <w:r>
        <w:t>Regeste</w:t>
      </w:r>
    </w:p>
    <w:p>
      <w:r>
        <w:t>A. X.________/Service des automobiles et de la navigation | Rappel de la jurisprudence selon laquelle le recourant, qui sait qu'une procédure de retrait du permis de conduire est ou sera ouverte contre lui, doit, s'il entend contester les faits retenus, recourir contre l'ordonnance pénale, même si cette dernière ne lui inflige aucune peine. Commet une infraction moyennement grave le cycliste qui regagne la piste cyclable à une vitesse inadaptée, ce qui entraîne la perte de maîtrise de son vélo électrique, provoquant sa chute. Les atteintes à la santé que le recourant a subies du fait de l'accident justifient cependant de renoncer à lui retirer son permis de conduire (application de l'art. 54 CP par analogie) et de prononcer un avertissement, conformément à ce qu'avait fait l'autorité pénale dans la mêne affaire.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relève qu'il s'est opposé à l'ordonnance pénale du 27 juillet 2012, mais qu'il a renoncé à recourir contre celle du 5 novembre 2012 puisqu'elle le libérait de toute amende. Il précise que, lors de l'audience devant le préfet, il a contesté avoir circulé à une vitesse inadaptée et que l'autorité pénale n'a pas investigué pour déterminer la vitesse réelle à laquelle il circulait lors de sa chute, ni même s'il n'avait pas ralenti lors de sa manœuvre, lui-même ne pouvant l'indiquer puisqu'il n'est pas à même de se remémorer les circonstances de son accident. Il fait valoir que, considérer du simple fait de sa chute, que sa vitesse était inadaptée sans autre argumentation n'est pas admissible. Selon lui, sa vitesse était au contraire adaptée à la configuration des lieux (tracé de la route rectiligne), sa chute dépendant bien plus d'un comportement, qui sans être totalement excusable, relève plus d'une certaine malchance. Le recourant ajoute également qu'il est tombé alors qu'il réintégrait la piste cyclable, de sorte que son point de chute ne pouvait être que sur cette dernière, ce qui s'est précisément produit, et qu'en conséquence aucun tiers usager de la voie principale n'a risqué de heurter son vélo. Il estime dès lors que la mise en danger abstraite accrue, ainsi que sa faute, doivent être qualifiées de légère. a) aa)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arrêt CDAP CR.2012.0066 du 20 novembre 2012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1C_502/2011 du 6 mars 2012 consid. 2.1; 1C_274/2010 du 7 octobre 2010 consid. 2.1; 123 II 97 consid. 3c/aa p. 104; 121 II 214 consid. 3a p. 217 s.). Si les faits retenus au pénal lient en principe l'autorité et le juge administratifs, il en va différemment des questions de droit, en particulier de l'appréciation de la faute et de la mise en danger (ATF 1C_502/2011 déjà cité consid. 2.1). bb) En l'espèce, le Préfet, après avoir tenu une audience lors de laquelle il a entendu le recourant, a retenu, dans son ordonnance pénale du 5 novembre 2012, que ce dernier avait circulé au guidon de son vélo électrique, sans emprunter la piste cyclable, à une vitesse inadaptée à la configuration des lieux et avait perdu la maîtrise de son véhicule. L'autorité intimée avait expressément averti le recourant du fait qu'il devait faire valoir tous ses arguments devant l'autorité pénale, car l'autorité administrative retiendrait les faits établis par l'autorité pénale (cf lettre du SAN du 14 août 2012). Le recourant, assisté par un mandataire professionnel, savait dès lors que, s'il entendait contester les faits retenus, il lui appartenait de recourir contre cette ordonnance pénale, même si cette dernière ne lui infligeait aucune peine. Il n'y a dès lors aucun motif de s'écarter des faits tels que retenus par le Préfet et tels qu'ils ressortent également du rapport de police. b) Dans la décision attaquée, le SAN a qualifié de moyennement grave l'infraction commise par le recourant. aa)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Depuis la révision partielle de la LCR du 14 décembre 2001, la réalisation d’une infraction légère, moyenne ou grave dépend toujours de la mise en danger du trafic induite et de la faute (cf. C. Mizel, Les nouvelles dispositions légales sur le retrait du permis de conduire, in RDAF 2004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(cf. Mizel, op. cit., p. 392; ATF 136 II 447 consid. 3.2; 135 II 138 consid. 2.2.2). bb) A teneur de l'art. 31 al. 1 LCR, le conducteur devra rester constamment maître de son véhicule de façon à pouvoir se conformer au devoir de prudence. Il vouera son attention à la route et à la circulation (art. 3 al. 1, 1 ère phrase, de l'ordonnance du 13 novembre 1962 sur les règles de la circulation routière [OCR; RS 714.11]). Selon l'art. 32 al. 1 LCR, la vitesse doit toujours être adaptée aux circonstances, notamment aux particularités du véhicule et du chargement, ainsi qu'aux conditions de la route, de la circulation et de la visibilité. L'art. 26 al. 1 LCR dispose quant à lui que chacun se conformera aux signaux et aux marques ainsi qu’aux ordres de la police. Les signaux et les marques priment les règles générales; les ordres de la police ont le pas sur les règles générales, les signaux et les marques. Selon l'art. 46 al. 1 LCR, les cyclistes doivent circuler sur les pistes et les bandes cyclables. L'art. 33 al. 1 1 ère phrase de l'ordonnance du 5 septembre 1979 sur la signalisation routière (OSR; RS 741.21) précise que le signal " Piste cyclable " (2.60) oblige les conducteurs de cycles et de cyclomoteurs à deux roues à emprunter la piste qui leur est indiquée par ce signal. La plupart des fautes à l'origine de pertes de maîtrise - ou d'autres infractions - dues à l'inattention ou à une vitesse inadaptée relèvent de la faute moyennement grave (v. Cédric Mizel, op. cit., ch. 30 p. 377 et les arrêts cités) et constituent une mise en danger moyennement grave également (v. Cédric Mizel, op.cit ch. 51 p. 391).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Il est vrai que le cas d'espèce présente la particularité de concerner un vélo électrique. Ce dernier peut toutefois atteindre la vitesse de 45 km/h et est ainsi considéré comme un cyclomoteur. Du fait de cette vitesse non négligeable, son usager doit faire preuve d'une prudence accrue lorsqu'il le conduit. La faute du recourant qui a consisté à regagner la piste cyclable, sur laquelle il aurait dû rouler, à une vitesse inadaptée, ce qui a entraîné la perte de la maîtrise de son vélo électrique, provoquant sa chute, ne saurait dès lors être considérée comme bénigne, mais comme moyennement grave. Pour ce qui est de la mise en danger, on doit relever que le recourant est tombé alors qu'il réintégrait la piste cyclable, de sorte que, contrairement à ce qu'il allègue, il aurait pu chuter sur la route principale et ainsi être heurté par les véhicules roulant sur cette dernière ou alors amener ces derniers à faire un écart sur la voie de circulation inverse et ainsi entraîner un autre accident. Il aurait aussi pu provoquer un accident impliquant d'autres cyclistes ou cyclomotoristes. La mise en danger doit dès lors être qualifiée de moyennement grave. L'infraction commise par le recourant dans le cas particulier doit par conséquent être qualifiée de moyennement grave au sens de l'art. 16b al. 1 let. a LCR. Même si la mise en danger avait été considérée comme légère, la faute devant être considérée comme moyennement grave, l'infraction aurait gardé sa qualification de moyennement grave. En application de l'art. 16b al. 2 let. a LCR, le permis devrait donc être retiré pour un mois au minimum. d) aa) Selon l'art. 54 CP, qui s'applique par analogie en matière de retrait de permis de conduire (arrêt du Tribunal fédéral 1C_315/2012 du 9 janvier 2013 consid. 3.1), si l’auteur d'une infraction a été directement atteint par les conséquences de son acte au point qu’une peine serait inappropriée, l’autorité compétente renonce à le poursuivre, à le renvoyer devant le juge ou à lui infliger une peine. L'exemption de poursuite ou de peine est soumise à la condition que l'auteur soit lui-même durement atteint par les conséquences directes de son acte; on peut donc prendre en considération les lésions corporelles ou les troubles psychiques causés par un accident (FF 1985 II 1030; ATF 117 IV 245 consid. 2a p.247). La question de savoir à quel degré l'auteur doit avoir été atteint, physiquement ou psychiquement, pour qu'une peine apparaisse inappropriée, dépend des circonstances de chaque cas particulier. Par conséquent, l'exemption devra dépendre essentiellement de la gravité et de la punissabilité de l'acte et, partant, de la faute imputable à l'auteur. Plus celle-ci sera lourde, plus les conséquences touchant la personne de l'auteur devront être graves pour rendre la peine inadéquate (ibid.).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(ATF 6B_587/2008 du 26 décembre 2008, consid. 1.2). Dans sa jurisprudence, le Tribunal administratif a appliqué cette disposition (jusqu'au 1 er janvier 2007, ancien article 66bis CP) dans des cas où le conducteur avait été très gravement touché par les conséquences de l'accident: jeune conducteur souffrant de graves blessures au visage avec des séquelles permanentes (CR 2001.0100 du 29 juin 2001); conducteur souffrant d'une fracture de la mâchoire, de blessures à la tête et de complications apparues lors du traitement (CR.2001.0303 du 18 février 2002); conductrice souffrant d’une fracture du bassin avec hospitalisation et rééducation de longue durée (CR 2003.0238 du 20 janvier 2003); conducteur et sa fille grièvement blessés avec multiples interventions chirurgicales et longues hospitalisations (CR 2003.0281 du 8 mai 2003). Il ne l'a par contre pas retenu dans le cas d'un motocycliste ayant subi une fracture de la clavicule et des contusions dans l'accident qu'il avait provoqué et qui n'avait produit aucun certificat médical faisant état d’une longue hospitalisation, ni d’éventuelles séquelles, ni même d’une incapacité de travail (CR.2005.0459 du 16 novembre 2006). Dans ce dernier cas, le Préfet n'avait pas non plus appliqué l'art. 66bis aCP. bb) Dans le cas présent, il y lieu d'examiner si l'on se trouve en présence de circonstances analogues à celles qui justifient de renoncer à une peinte en application de l'art. 54 CP. Les atteintes à la santé que le recourant a subies à cause de l'accident sont relativement importantes: des fractures de la clavicule et des côtes, un traumatisme cranio-cérébral important et un traumatisme cervical sévère, selon le dernier certificat médical du 19 décembre 2012, qui atteste, près de six mois après l'accident, de la subsistance de douleurs et de troubles de la concentration. Une incapacité de travail significative (70 %) subsistait six mois après l'accident. Dans son ordonnance pénale du 5 novembre 2012, le Préfet a considéré que ces "sérieuses blessures […] pas encore entièrement guéries" permettaient une exemption de peine sur la base de l'art. 54 CP. Dans sa réclamation du 8 janvier 2013, le recourant s'était référé à cette appréciation du Préfet. L'autorité intimée, dans la décision attaquée, n'a pas pris position sur ce point. Ce faisant, elle n'a pas contesté le caractère probant de l'avis médical précité et elle n'a pas mis en doute le fait que les conséquences de la chute du 3 juillet 2012 étaient encore ressenties comme très pénibles par le recourant. Il est rare que la perte de maîtrise d'un vélo entraîne de telles blessures et de telles conséquences pour la capacité de travail, plusieurs mois après une chute sans collision avec un autre véhicule. Dès lors, il s'impose de faire, à propos de la sanction administrative de retrait du permis de conduire, le même raisonnement qu'a fait le juge pénal (le Préfet) à propos de la peine d'amende; une application analogique de l'art. 54 CP justifie l'exemption d'un retrait de permis de conduire. Cela étant, le prononcé d'un avertissement entre en considération. Cette mesure administrative est prévue par la loi en cas d'infraction légère (art. 16a al. 3 LCR). On ne voit aucun obstacle à ce qu'elle soit prononcée en cas d'infraction moyennement grave (art. 16b LCR) quand le retrait du permis de conduire n'est pas une sanction appropriée, pour les motifs précités. L'avertissement ne peut pas être assimilé directement à une peine; quoi qu'il en soit, on peut admettre que le conducteur directement atteint par les conséquences de son acte au point qu'un retrait du permis de conduire serait inapproprié (cf. art. 54 CP) puisse tout de même faire l'objet d'un avertissement. Le recourant a du reste admis, dans les conclusions subsidiaires de son recours, qu'une telle mesure soit prononcée à son encontre. e) Il résulte de ce qui précède que l'autorité intimée a violé le droit fédéral en infligeant un retrait du permis de conduire, et que la décision attaquée doit être réformée en ce sens qu'un avertissement est prononcé.</w:t>
      </w:r>
    </w:p>
    <w:p>
      <w:r>
        <w:rPr>
          <w:b/>
        </w:rPr>
        <w:t>E. 3</w:t>
      </w:r>
    </w:p>
    <w:p>
      <w:r>
        <w:t>Le recourant, qui obtient gain de cause avec le concours d’un mandataire professionnel, a droit à l’allocation de dépens, les frais étant laissés à la charge de l’Etat (art. 49 al. 1, 52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