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CR.2013.0013 vom 25. Juni 2013</w:t>
      </w:r>
    </w:p>
    <w:p>
      <w:r>
        <w:t>VD Tribunal cantonal, 2013-06-25, FR</w:t>
      </w:r>
    </w:p>
    <w:p>
      <w:r>
        <w:rPr>
          <w:b/>
        </w:rPr>
        <w:t xml:space="preserve">Quelle: </w:t>
      </w:r>
      <w:r>
        <w:t>https://mcp.opencaselaw.ch/entscheid/vd_omni_CR.2013.0013</w:t>
      </w:r>
    </w:p>
    <w:p>
      <w:r>
        <w:t>FR: VD_OMNI CR.2013.0013 du 25 juin 2013</w:t>
      </w:r>
    </w:p>
    <w:p>
      <w:r>
        <w:t>IT: VD_OMNI CR.2013.0013 del 25 giugno 2013</w:t>
      </w:r>
    </w:p>
    <w:p>
      <w:pPr>
        <w:pStyle w:val="Heading2"/>
      </w:pPr>
      <w:r>
        <w:t>Regeste</w:t>
      </w:r>
    </w:p>
    <w:p>
      <w:r>
        <w:t>A. X.________/Service des automobiles et de la navigation | La question de savoir si le recourant, qui est toujours hospitalisé depuis l'accident survenu en août 2012 et dans l'impossibilité de conduire, a un intérêt pratique et actuel à contester le retrait préventif de son permis de conduire, est laissée ouverte. Sur le fond, le retrait préventif est confirmé compte tenu des circonstances peu claires de l'accident et de la gravité des blessures du recourant. La sécurité du trafic commande de s'assurer qu'il ne puisse reprendre la conduite automobile à sa sortie de l'hôpital sans que son aptitude à la conduite n'ait fait l'objet de l'examen médical requis par le SAN. Recours rejeté.</w:t>
      </w:r>
    </w:p>
    <w:p>
      <w:pPr>
        <w:pStyle w:val="Heading2"/>
      </w:pPr>
      <w:r>
        <w:t>Erwägungen</w:t>
      </w:r>
    </w:p>
    <w:p>
      <w:r>
        <w:rPr>
          <w:b/>
        </w:rPr>
        <w:t>E. 1</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 2; ATF 118 Ia 488 consid. 1a p. 490; 111 Ib 56 consid. 2a p. 58 et les références). b) En l'espèce, le recourant allègue qu'il est toujours hospitalisé et que, partant, il est dans l'impossibilité de conduire. Dès lors, on peut se demander s'il a un intérêt pratique et actuel à contester les effets provisoires d'un retrait préventif de son permis de conduire, à savoir une décision à laquelle devra, le cas échéant, se substituer - une fois les doutes sur l'aptitude à conduire confirmés ou levés - une éventuelle autre mesure (retrait de sécurité) ouvrant alors la voie de la réclamation, puis celle du recours. La question de la recevabilité du recours peut cependant rester indécise, le pourvoi devant être rejeté au fond.</w:t>
      </w:r>
    </w:p>
    <w:p>
      <w:r>
        <w:rPr>
          <w:b/>
        </w:rPr>
        <w:t>E. 2</w:t>
      </w:r>
    </w:p>
    <w:p>
      <w:r>
        <w:t>a) L'art. 14 al. 2 de la loi fédérale du 19 décembre 1958 sur la circulation routière (LCR; RS 741.01) prévoit qu'e st apte à la conduite celui qui a atteint l'â ge minimal requis (let. a), a les aptitudes physiques et psychiques requises pour conduire un véhicule automobile en toute sécurité (let. b), ne souffre d'aucune dépendance qui l'empêche de conduire un véhicule automobile en toute sécurité (let. c) et dont l es antécédents attestent qu'il respecte les règles en vigueur ainsi que les autres usagers de la route (let. d). Selon l'art. 16d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30 de l'ordonnance du 27 octobre 1976 réglant l’admission des personnes et des véhicules à la circulation routière (OAC; RS 741.51) prévoit toutefois que, l e permis d’élève conducteur ou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la mesure doit s'inscrire dans une procédure de retrait de sécurité (v. ATF 1C_219/2011 du 30 septembre 2011 consid. 2.1 s'agissant du titulaire d'un permis de conduire à l'essai ainsi que d'un permis d'élève conducteur). La jurisprudence rappelle que l e retrait préventif intervient, par définition, avant que tous les éclaircissements nécessaires pour juger de la nécessité d'un retrait de sécurité (16d LCR)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 ATF 125 II 492 consid. 2b p. 496; 122 II 359 consid. 3a p. 364). b) Le recourant fait valoir qu'il n'est pas établi avec certitude qu'il a perdu la maîtrise de son véhicule et qu'il ne s'agit que d'une hypothèse évoquée par la police pour expliquer l'accident. Il reproche au SAN de ne pas avoir élucidé les causes à l'origine de cette supposée perte de maîtrise et d'avoir ainsi fait preuve d'arbitraire. Le recourant rappelle qu'il n'a jamais eu le moindre problème de santé et que rien au dossier ne permet de supposer qu'il souffrirait d'une maladie qui pourrait expliquer une perte de maîtrise, si tant est qu'il en ait eu une. c) Il ressort du dossier que, si l'origine de cet accident n'est effectivement pas établie, le rapport de police mentionne plusieurs hypothèses, à savoir une inattention, une occupation accessoire, un assoupissement, un malaise ou tout autre cause. Ces hypothèses suscitent des doutes sérieux sur l'aptitude du recourant à conduire des véhicules automobiles en toute sécurité et sans réserve. En effet, le recourant, circulant sur l'autoroute, a heurté la berme centrale, puis la glissière latérale avec son véhicule avant de s'immobiliser au milieu des deux voies pour des raisons que la police n'a pas pu déterminer. Il reste qu'en l'état, on ne peut exclure que cet accident ait pu être causé par un éventuel problème médical, quand bien même le recourant est un jeune conducteur, au demeurant titulaire d'un permis à l'essai. Un éventuel problème médical est d'autant moins à exclure qu'après une violente embardée, le recourant a encore subi un second choc, tout aussi violent, lorsqu'il a été percuté par un automobiliste. De nombreux mois plus tard, le recourant souffre de graves lésions (il n'est même pas en mesure de signer le recours) permettant clairement de douter du fait qu'il dispose toujours actuellement de toutes les aptitudes requises pour conduire en toute sécurité (v. art. 16d al. 1 LCR). A ce stade de la procédure, ces éléments suffisent clairement à fonder un doute sérieux sur la capacité du recourant à conduire. d) Le recourant développe un second moyen dans lequel il conteste la pratique du SAN qui revient, par un retrait préventif, à priver de son permis toute personne, qui comme lui, est provisoirement dans l'incapacité de conduire pour des raisons de santé lors d'une hospitalisation. Le retrait préventif est une mesure de sécurité qui est justifiée notamment par l'importance des craintes que suscite le conducteur. L'autorité doit mettre en balance l'intérêt public à la sécurité routière et l'intérêt privé du conducteur (à titre d'exemple, arrêt CR.2008.0160 du 19 mars 2009 et réf. cit.). En l'occurrence, les faits survenus le 20 août 2012 légitiment clairement les craintes de l'autorité compte tenu des circonstances peu claires de l'accident et de la gravité des blessures du recourant. En effet, la sécurité du trafic et de ses usagers commande de s'assurer que le recourant ne puisse pas reprendre la conduite automobile de son propre chef à sa sortie de l'hôpital, sans avoir été soumis à une expertise médicale complète (décision du 19 octobre 2012). Cet intérêt public l'emporte clairement sur l'intérêt privé du recourant à pouvoir disposer immédiatement de son permis de conduire. e) En conclusion, la décision attaquée, qui ne viole pas la loi ni ne procède d'un abus du pouvoir d'appréciation de l'autorité intimée, doit être confirmée.</w:t>
      </w:r>
    </w:p>
    <w:p>
      <w:r>
        <w:rPr>
          <w:b/>
        </w:rPr>
        <w:t>E. 3</w:t>
      </w:r>
    </w:p>
    <w:p>
      <w:r>
        <w:t>Les considérants qui précèdent conduisent au rejet du recours aux frais de son auteur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