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CR.2013.0005 vom 2. Juli 2013</w:t>
      </w:r>
    </w:p>
    <w:p>
      <w:r>
        <w:t>VD Tribunal cantonal, 2013-07-02, FR</w:t>
      </w:r>
    </w:p>
    <w:p>
      <w:r>
        <w:rPr>
          <w:b/>
        </w:rPr>
        <w:t xml:space="preserve">Quelle: </w:t>
      </w:r>
      <w:r>
        <w:t>https://mcp.opencaselaw.ch/entscheid/vd_omni_CR.2013.0005</w:t>
      </w:r>
    </w:p>
    <w:p>
      <w:r>
        <w:t>FR: VD_OMNI CR.2013.0005 du 2 juillet 2013</w:t>
      </w:r>
    </w:p>
    <w:p>
      <w:r>
        <w:t>IT: VD_OMNI CR.2013.0005 del 2 luglio 2013</w:t>
      </w:r>
    </w:p>
    <w:p>
      <w:pPr>
        <w:pStyle w:val="Heading2"/>
      </w:pPr>
      <w:r>
        <w:t>Regeste</w:t>
      </w:r>
    </w:p>
    <w:p>
      <w:r>
        <w:t>X.________/Service des automobiles et de la navigation | Alors qu'il circulait sur l'A1 et l'A9, entre Ecublens et Belmont, qu'il faisait nuit et que la circulation pendulaire était dense, le recourant n'a pas annoncé ses changements de direction, effectuant ainsi plusieurs dépassements et ceci, sans faire usage des indicateurs de direction de son véhicule. Le comportement du recourant a généré une mise en danger abstraite des autres usagers. La faute peut encore apparaître comme légère, mais l'infraction reprochée au recourant doit, quant à elle, être qualifiée comme étant de gravité moyenne. Confirmation du retrait de permis de conduire d'une durée de quatre mois, le recourant ayant fait l'objet dans les deux ans d'un retrait précédent pour une infraction moyennement grave (recours en matière de droit public rejeté par ATF 1C_708/2013 du 27 février 2014).</w:t>
      </w:r>
    </w:p>
    <w:p>
      <w:pPr>
        <w:pStyle w:val="Heading2"/>
      </w:pPr>
      <w:r>
        <w:t>Erwägungen</w:t>
      </w:r>
    </w:p>
    <w:p>
      <w:r>
        <w:rPr>
          <w:b/>
        </w:rPr>
        <w:t>E. 1</w:t>
      </w:r>
    </w:p>
    <w:p>
      <w:r>
        <w:t>Dans un premier grief, le recourant reproche à l'autorité intimée de s'être écartée sans raison des faits retenus dans le prononcé préfectoral, en considérant que l'infraction est moyennement grave, alors que ce prononcé impliquerait une qualification d'infraction légère. En particulier, selon les faits retenus par le Préfet, le recourant n'aurait pas circulé à 120 km/h au lieu de 80 autorisés puis environ à 160 km/h. Pour le recourant, il n’y aurait pas lieu de retenir à sa charge un dépassement de la vitesse autorisée sur autoroute, faute de pouvoir la constater et d’en définir la mesure.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123 II 97 consid. 3c/aa; 119 Ib 158 consid. 3c/aa; 105 Ib 18 consid. 1a; 101 Ib 270 consid. 1b; 96 I 766 consid. 5). b) En l'espèce, il est vrai que l'autorité intimée s'est partiellement écartée des faits constatés par le Préfet. L’ordonnance du 16 février 2012 retient sans doute que le recourant n’a pas observé la limitation de vitesse maximale générale de 120 km/h sur autoroute, ainsi que la vitesse maximale signalée autre que celles, généralisées. Il est donc inexact de soutenir que le recourant n’a pas dépassé la vitesse autorisée sur autoroute. Dans le dispositif de l’ordonnance, il est fait application de l'art. 27 al. 1 de la loi fédérale du 19 décembre 1958 sur la circulation routière (LCR; RS 741.01), qui prescrit notamment que chaque usager doit se conformer aux signaux et aux marques ainsi qu'aux ordres de police, ainsi que de l’art. 4a al. 1d et 5 de l’ordonnance fédérale du 13 novembre 1962 sur les règles de la circulation routière (OCR ; RS.741.11), qui pose la règle fondamentale des limitations générales de vitesse. Le préfet a dès lors condamné le recourant pour vitesse supérieure à celle autorisée puisqu’en principe, lorsque le dépassement de la vitesse est prouvé, le conducteur est réprimé sur la base de l'art. 27 al. 1 LCR (v. arrêt CR.2008.0297 du 20 avril 2009). Toutefois, le Préfet n’a pas été en mesure, vu l’incertitude, de quantifier la mesure exacte de ce dépassement de vitesse. Il reste que ce n'est pas parce que l'excès de vitesse ne peut être chiffré avec précision qu'il ne faut pas admettre ce dernier comme établi (ibid.). Il convient dès lors de s'en tenir aux faits tels qu'établis dans l’ordonnance pénale, à savoir que le recourant a dépassé la vitesse maximale autorisée, ce qu’il admet du reste, sans que la hauteur de ce dépassement puisse être déterminée. Pour le surplus, l’ordonnance a retenu que le recourant n’avait pas annoncé ses changements de direction au volant de son véhicule, lors de ses dépassements, ceci contrairement à la prescription figurant aux 39 al. 1 let. b LCR et 28 al. 1 OCR. Au final, le recourant, dénoncé pour violation grave des règles de la circulation au sens de l’art. 90 ch. 2 LCR, a ainsi été reconnu coupable de violation simple des règles de la circulation routière au sens de l’art. 90 ch. 1 LCR et de violation des prescriptions de l’OCR au sens de son art. 96.</w:t>
      </w:r>
    </w:p>
    <w:p>
      <w:r>
        <w:rPr>
          <w:b/>
        </w:rPr>
        <w:t>E. 2</w:t>
      </w:r>
    </w:p>
    <w:p>
      <w:r>
        <w:t>Si l'autorité administrative est en principe liée par les faits retenus par le juge pénal, il n'en va pas de même pour ce qui concerne les questions de droit, en particulier l'appréciation de la faute (arrêts CR.2012.0005 du 7 juin 2012 consid. 2; CR.2009.0005 du 6 janvier 2010 consid. 1c; ATF 1C_585/2008 du 14 mai 2009 consid. 3.1; 1C_71/2008 du 31 mars 2008 consid. 2.1). Or, en l'espèce, c'est bien à l'appréciation différente d'une question de droit que le recourant fait allusion, puisqu'il s'agit de l'appréciation de la gravité de la faute qu'il a commise et de la qualification de l'infraction dans le contexte de l'application des art. 16a ss LCR. a) On rappelle que, dans le système de la LCR, la durée du retrait de permis est fonction de la qualification de l'infraction commise, qui peut être légère, moyennement grave ou grave. aa)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dd)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1C_27/2012 du 3 juillet 2012 consid. 3.1; 6A.16/2006 du 6 avril 2006 consid. 2.1; FF 1999 IV 4132 et 4134; cf. également, René Schaffhauser, Die neuen Administrativmassnahmen des Strassenverkehrsgesetzes, in Jahrbuch zum Strassenverkehrsrecht, Saint-Gall 2003, p. 186; pour une catégorisation plus exhaustive des cas moyennement graves, cf. Cédric Mizel, Les nouvelles dispositions légales sur le retrait du permis de conduire, in RDAF 2004 I p. 361 et ss, not. 392). b) Dans le cas présent, contrairement à ce qu'affirme le recourant, l'autorité intimée ne s'est pas écartée de l'appréciation juridique du Préfet. En effet, si l'art. 90 ch. 2 LCR correspond à l'infraction grave prévue à l'art. 16c LCR, l'art. 90 ch. 1 LCR recouvre, pour sa part, les deux hypothèses de l'infraction légère ou moyennement grave prévues aux art. 16a et 16b LCR (ATF 128 II 139 consid. 2c; arrêts CR.2012.0034 du 25 septembre 2012;  CR.2008.0034 du 2 mars 2009). Or, c'est bien en application de l'art. 90 ch. 1 LCR que le prononcé préfectoral a infligé une amende au recourant, comme on l’a vu plus haut. aa) Le recourant fait cependant valoir que les infractions qui lui sont reprochées doivent être qualifiées de légères au sens de l’art. 16a LCR.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 387). En revanche,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6A.16/2006 du 6 avril 2006 consid. 2.1.1, et les références citées, in JdT 2006 I p. 442; arrêts CR.2012.0004 du 8 mars 2012 consid. 2a; CR.2011.0035 du 21 novembre 2011, consid. 7a; CR.2010.0052 du 14 octobre 2010 consid. 1). bb) Le recourant a commis un excès de vitesse sur autoroute; il l’admet du reste. Comme on l’a vu plus haut, il n'a cependant pas été possible de déterminer la hauteur de celui-ci. Statuant sur un cas similaire, le Tribunal fédéral, sous l’empire des dispositions antérieures au 1 er janvier 2005, a relevé « qu' à défaut de toute constatation à ce sujet, rien ne permet de dire que le dépassement de vitesse reproché à l'intimé était suffisamment important pour justifier objectivement un retrait du permis de conduire en vertu de l'art. 16 al. 3 let. a ou al. 2 1 ère phrase LCR, voire un avertissement selon l'art. 16 al. 2 2 ème phrase LCR (cf. supra, consid. 2b). Il y a encore lieu de rechercher si des circonstances concrètes (conditions du trafic défavorables, mauvaise réputation de l'automobiliste) ne justifient néanmoins pas le prononcé d'une mesure administrative» (ATF 6A.114/2001 du 5 décembre 2001, consid. 2c). Dès lors, ce dépassement ne permettait pas encore à l’autorité intimée de retenir une infraction de gravité moyenne. Toutefois, on rappelle à cet égard qu’une autre infraction a été reprochée au recourant. Lors de son trajet sur l’A9, le 2 novembre 2011, entre Ecublens et son interpellation à la sortie de Belmont, il n’a pas annoncé ses changements de direction, effectuant ainsi plusieurs dépassements et ceci, sans faire usage des indicateurs de direction de son véhicule. Or, il ressort du rapport de police qu’il faisait nuit à ce moment-là et que la circulation pendulaire était dense sur le contournement de Lausanne. Cela étant, on observe également que la chaussée était sèche et surtout, qu’aucun usager ne semble avoir été gêné par le comportement du recourant. Il n’en demeure pas moins qu’au milieu d’une forte circulation pendulaire sur une autoroute, le comportement du recourant a généré une mise en danger abstraite des autres usagers. La faute peut encore apparaître comme légère, mais l’infraction reprochée au recourant doit, quant à elle, être qualifiée comme étant de gravité moyenne. Cela suffit pour qu'une mesure administrative soit prononcée à son encontre. Il n’est pas nécessaire d’examiner la pertinence du besoin professionnel du permis de conduire invoqué par l’intéressé, puisqu’au vu de ses antécédents, il n’est de toute façon pas possible de réduire la durée de la mesure prononcée par l’autorité intimée à son égard (art. 16 al. 3 LCR). En effet, l’autorité intimée s’est contentée de la mesure minimale que lui permet l’ art. 16b al. 2 let. b LCR.</w:t>
      </w:r>
    </w:p>
    <w:p>
      <w:r>
        <w:rPr>
          <w:b/>
        </w:rPr>
        <w:t>E. 3</w:t>
      </w:r>
    </w:p>
    <w:p>
      <w:r>
        <w:t>Les considérants qui précèdent conduisent au rejet du recours et à la confirmation de la décision attaquée. Les frais sont mis à la charge du recourant, qui au surplus ne saurait prétendre à l’allocation de dépens (art. 49 al. 1, 55 al. 1 a contrario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