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CR.2012.0085 vom 16. Januar 2013</w:t>
      </w:r>
    </w:p>
    <w:p>
      <w:r>
        <w:t>VD Tribunal cantonal, 2013-01-16, FR</w:t>
      </w:r>
    </w:p>
    <w:p>
      <w:r>
        <w:rPr>
          <w:b/>
        </w:rPr>
        <w:t xml:space="preserve">Quelle: </w:t>
      </w:r>
      <w:r>
        <w:t>https://mcp.opencaselaw.ch/entscheid/vd_omni_CR.2012.0085</w:t>
      </w:r>
    </w:p>
    <w:p>
      <w:r>
        <w:t>FR: VD_OMNI CR.2012.0085 du 16 janvier 2013</w:t>
      </w:r>
    </w:p>
    <w:p>
      <w:r>
        <w:t>IT: VD_OMNI CR.2012.0085 del 16 gennaio 2013</w:t>
      </w:r>
    </w:p>
    <w:p>
      <w:pPr>
        <w:pStyle w:val="Heading2"/>
      </w:pPr>
      <w:r>
        <w:t>Regeste</w:t>
      </w:r>
    </w:p>
    <w:p>
      <w:r>
        <w:t>A.X.________/Service des automobiles et de la navigation | Arrêt de classement consécutif à la non-production de la décision attaquée. Au demeurant, il est probable que le SAN n'ait pas encore statué sur l'opposition formée devant lui.</w:t>
      </w:r>
    </w:p>
    <w:p>
      <w:pPr>
        <w:pStyle w:val="Heading2"/>
      </w:pPr>
      <w:r>
        <w:t>Erwägungen</w:t>
      </w:r>
    </w:p>
    <w:p>
      <w:r>
        <w:rPr>
          <w:b/>
        </w:rPr>
        <w:t>E. 4</w:t>
      </w:r>
    </w:p>
    <w:p>
      <w:r>
        <w:t>et 5 LPA-VD, l’autorité impartit au recourant un bref délai pour corriger les écrits incomplets ou qui ne satisfont pas aux conditions de forme posées par la loi, - qu’à défaut de correction des vices constatés, le recours est réputé retiré, partant irrecevable, - que le recourant n’a pas produit la décision attaquée, - qu’à la lecture de son écriture du 18 décembre 2012, on peut se demander si le SAN a déjà statué sur l’opposition formée par le recourant, - que si tel n’était pas le cas, le recours du 18 décembre 2012 serait prématuré, décide : I. Le recours est irrecevable et la cause est rayée du rôle. II. La présente décision est rendue sans frais Lausanne, le 16 janvier 2013 Le président: Le présent arrêt est communiqué aux destinataires de l'avis d'envoi ci-joint, ainsi qu’à l’OFROU.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