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CR.2012.0080 vom 31. Januar 2013</w:t>
      </w:r>
    </w:p>
    <w:p>
      <w:r>
        <w:t>VD Tribunal cantonal, 2013-01-31, FR</w:t>
      </w:r>
    </w:p>
    <w:p>
      <w:r>
        <w:rPr>
          <w:b/>
        </w:rPr>
        <w:t xml:space="preserve">Quelle: </w:t>
      </w:r>
      <w:r>
        <w:t>https://mcp.opencaselaw.ch/entscheid/vd_omni_CR.2012.0080</w:t>
      </w:r>
    </w:p>
    <w:p>
      <w:r>
        <w:t>FR: VD_OMNI CR.2012.0080 du 31 janvier 2013</w:t>
      </w:r>
    </w:p>
    <w:p>
      <w:r>
        <w:t>IT: VD_OMNI CR.2012.0080 del 31 gennaio 2013</w:t>
      </w:r>
    </w:p>
    <w:p>
      <w:pPr>
        <w:pStyle w:val="Heading2"/>
      </w:pPr>
      <w:r>
        <w:t>Regeste</w:t>
      </w:r>
    </w:p>
    <w:p>
      <w:r>
        <w:t>A. X.________/Service des automobiles et de la navigation | Automobiliste qui boit de l'eau en conduisant, ce qui l'empêche de freiner lorsque le véhicule le précédant ralentit, l'oblige à prendre la voie de gauche et emboutir le véhicule venant en sens inverse. Faute grave et retrait du permis de conduire pour trois mois confirmé.</w:t>
      </w:r>
    </w:p>
    <w:p>
      <w:pPr>
        <w:pStyle w:val="Heading2"/>
      </w:pPr>
      <w:r>
        <w:t>Erwägungen</w:t>
      </w:r>
    </w:p>
    <w:p>
      <w:r>
        <w:rPr>
          <w:b/>
        </w:rPr>
        <w:t>E. 1</w:t>
      </w:r>
    </w:p>
    <w:p>
      <w:r>
        <w:t>let. a LCR). Dans ce cas, le permis de conduire est retiré pour trois mois au minimum (art. 16c al. 2 let. a LCR). La faute est moyenne lorsque tous les éléments constitutifs qui permettent de la privilégier comme légère ou au contraire de la qualifier de grave ne sont pas réunis; tel est le cas par exemple lorsque la faute est grave et la mise en danger bénigne ou, inversement, si la faute est légère et la mise en danger grave (ATF 136 II 447 consid. 3.2 p. 452; 135 II 138 consid. 2.2.2 p. 141, et les arrêts cités). b)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et les références citées). Est considéré comme grave le fait, pour un conducteur, de prendre une bouteille d'eau qui avait glissé entre le siège passager et la portière (ATF 1C_188/2010 du 6 septembre 2010 annulant l'arrêt CR.2009.0086 du 18 mars 2010), de se pencher pour ramasser un document qui se trouvait dans son sac à main, sur le sol côté passager (ATF 1C_71/2008 du 31 mars 2008 annulant l'arrêt CR.2007.0319 du 28 janvier 2008), de changer un CD (arrêt CR.2009.0061 du 12 mars 2010), de se baisser pour ramasser un téléphone portable tombé à ses pieds (ATF 1C_299/2007 du 11 janvier 2008; arrêt CR.2007.0103 du 20 août 2007), de porter le regard sur l'autoradio (arrêt CR.2009.0043 du 30 septembre 2009), de chercher un CD dans la boîte à gants (arrêt CR.2007.0134 du 4 août 2008), de manipuler l’autoradio et de régler la climatisation (arrêt CR.2006.0483 du 17 avril 2007) ou d’allumer une cigarette (arrêt CR.2011.0077 du 30 mars 2012), lorsque ces activités ont conduit à ce que l'attention du conducteur soit détournée de la route. c) En buvant de l’eau tout en conduisant, le recourant n’a pas prêté à la circulation toute l’attention requise de sa part. Deux véhicules le précédaient sur une route importante. Le moment de distraction a été suffisant pour que le recourant ne soit plus en mesure de freiner lorsque le véhicule juste devant lui avait ralenti sa vitesse pour laisser le précédent bifurquer de la route. Le recourant s’est alors vu contraint d’effectuer un freinage d’urgence. Voyant que cela ne suffisait pour éviter d’emboutir le véhicule le précédant, le recourant a emprunté la voie de gauche de la route. Il est entré en collision avec le véhicule d’B. Y.________, qui circulait régulièrement en sens inverse. Le comportement du recourant relève de la négligence grossière au sens de la jurisprudence qui vient d’être rappelée. S’il avait soif, il n’avait qu’à attendre la fin de son trajet pour se désaltérer, ou bien s’arrêter à la première occasion si l’étanchement ne souffrait aucun délai. En agissant comme il l’a fait, le recourant n’a pas montré suffisamment d’égards pour les autres usagers de la route. Il a pris un risque que l’on ne peut qualifier de bénin et qui s’est concrétisé par un accident qui aurait pu avoir de lourdes conséquences. Sa faute est grave au sens de l’art. 16c al. 1 let. a LCR, mis en relation avec l’art. 3 al. 1 OCR. d) Le recourant invoque deux précédents, soit l’arrêt rendu le 28 février 2012 dans la cause CR.2011.0072, et l’arrêt rendu le 7 juin 2011 dans la cause CR.2010.0076. aa) L’arrêt du 28 février 2012 se rapporte à la situation où une automobiliste avait actionné le bouton permettant de baisser la fenêtre du côté du passager avant droit, afin de faire sortir des mouches qui volaient dans l’habitacle. Quittant la route des yeux, elle avait laissé son véhicule dévier à gauche et roulé sur la bande herbeuse de la route, avant de heurter une balise en bois. Le SAN avait retenu une faute grave. Le Tribunal cantonal a admis le recours formé contre cette décision, en considérant que la recourante avait circulé sur une route forestière à faible trafic et rectiligne. Quant à l’arrêt du 7 juin 2011, il se rapporte à la situation où un automobiliste avait détourné le regard de la route et embouti le véhicule qui le précédait. Le SAN a retenu une faute moyennement grave, appréciation confirmée par le Tribunal cantonal. bb) Ces deux arrêts ne sont pas déterminants. Contrairement au premier cas, le recourant circulait sur une route cantonale, dans le trafic (puisqu’au moins deux véhicules le précédaient et qu’un autre circulait en sens inverse au moment où il s’est déporté sur la voie de gauche). Pour ce qui est du deuxième arrêt, le SAN aurait tout aussi bien pu, sur le vu de la jurisprudence qui vient d’être rappelée, retenir une faute grave. En l’occurrence, il n’y a rien à redire à l’appréciation plus sévère retenue en l’espèce par le SAN.</w:t>
      </w:r>
    </w:p>
    <w:p>
      <w:r>
        <w:rPr>
          <w:b/>
        </w:rPr>
        <w:t>E. 2</w:t>
      </w:r>
    </w:p>
    <w:p>
      <w:r>
        <w:t>Le recourant se prévaut de l’ordonnance pénale du 17 août 2012. a) Le jugement pénal ne lie en principe pas l’autorité administrative. Pour ce qui est de l’existence d’une infraction, l 'autorité administrative ne doit pas s'écarter, sans raisons sérieuses,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136 II 447 consid. 3.1 p. 451; 129 II 312 consid. 2.4 p. 315; 123 II 97 consid. 3 c/aa p. 103/104; 119 Ib 158 consid.</w:t>
      </w:r>
    </w:p>
    <w:p>
      <w:r>
        <w:rPr>
          <w:b/>
        </w:rPr>
        <w:t>E. 3</w:t>
      </w:r>
    </w:p>
    <w:p>
      <w:r>
        <w:t>La mesure de retrait contestée s’en tient au minimum légal de trois mois (art. 16c al. 2 let. a LCR). Dans ce cas, on ne tient compte ni des antécédents, ni des besoins professionnels du conducteur (art. 16 al. 3 LCR).</w:t>
      </w:r>
    </w:p>
    <w:p>
      <w:r>
        <w:rPr>
          <w:b/>
        </w:rPr>
        <w:t>E. 3.1</w:t>
      </w:r>
    </w:p>
    <w:p>
      <w:r>
        <w:t>p. 451; 123 II 97 consid. 3c/aa p. 104; 121 II 214 consid. 3a p. 217. b) L’ordonnance pénale du 17 août 2012 a été rendue selon la procédure simplifiée de l’art. 352 CPP, sans l’audition du recourant. S’ajoute à cela que le Préfet n’a pas correctement appliqué l’art. 90 LCR, s’agissant de la qualification de gravité de la faute, sur le vu de la jurisprudence qui vient d’être rappelée.</w:t>
      </w:r>
    </w:p>
    <w:p>
      <w:r>
        <w:rPr>
          <w:b/>
        </w:rPr>
        <w:t>E. 4</w:t>
      </w:r>
    </w:p>
    <w:p>
      <w:r>
        <w:t>Le recours doit ainsi être rejeté, et la décision attaquée confirmée. Les frais sont mis à la charge du recourant;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