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CR.2012.0073 vom 6. März 2013</w:t>
      </w:r>
    </w:p>
    <w:p>
      <w:r>
        <w:t>VD Tribunal cantonal, 2013-03-06, FR</w:t>
      </w:r>
    </w:p>
    <w:p>
      <w:r>
        <w:rPr>
          <w:b/>
        </w:rPr>
        <w:t xml:space="preserve">Quelle: </w:t>
      </w:r>
      <w:r>
        <w:t>https://mcp.opencaselaw.ch/entscheid/vd_omni_CR.2012.0073</w:t>
      </w:r>
    </w:p>
    <w:p>
      <w:r>
        <w:t>FR: VD_OMNI CR.2012.0073 du 6 mars 2013</w:t>
      </w:r>
    </w:p>
    <w:p>
      <w:r>
        <w:t>IT: VD_OMNI CR.2012.0073 del 6 marzo 2013</w:t>
      </w:r>
    </w:p>
    <w:p>
      <w:pPr>
        <w:pStyle w:val="Heading2"/>
      </w:pPr>
      <w:r>
        <w:t>Regeste</w:t>
      </w:r>
    </w:p>
    <w:p>
      <w:r>
        <w:t>A. X.________/Service des automobiles et de la navigation | La décision du SAN qui retire le permis de conduire pour une durée indéterminée, avec un délai d'attente minimal de 5 ans, à un conducteur ayant commis une infraction grave aux règles de la circulation routière, et qui a dans les dix ans précédant cette infraction, commis trois infractions moyennement graves et une infraction grave respecte le droit fédéral (art. 16c al. 2 let d LCR). Le SAN n'a pas abusé de son pouvoir d'appréciation en étendant le retrait à toutes les catégories et sous-catégories de véhicules (33 OAC), compte tenu de la gravité et du nombre d'infractions commises dans un laps de temps relativement court (4 ans). Le besoin professionnel du permis de conduire ne permet pas de réduire la sanction au-delà du minimum légal. Compte tenu des circonstances du cas, la durée du retrait de permis, qui dépasse le minimum légal, n'est pas critiquable.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(art. 79 LPA-VD, applicable par renvoi de l'art. 99 LPA-VD), de sorte qu'il y a lieu d'entrer en matière sur le fond.</w:t>
      </w:r>
    </w:p>
    <w:p>
      <w:r>
        <w:rPr>
          <w:b/>
        </w:rPr>
        <w:t>E. 2</w:t>
      </w:r>
    </w:p>
    <w:p>
      <w:r>
        <w:t>Le recourant ne conteste à juste titre pas les faits reprochés ni la qualification de l’infraction retenue à son encontre. En effet, l’infraction commise par le recourant le 16 juin 2012, à savoir la conduite d’un véhicule en dépit d’un retrait du permis de conduire tombe dans la catégorie des infractions graves selon l’art. 16c al. 1 let. f de la loi fédérale du 19 décembre 1958 sur la circulation routière (LCR ; RS 741.01). La décision attaquée respecte sur ce point le droit fédéral.</w:t>
      </w:r>
    </w:p>
    <w:p>
      <w:r>
        <w:rPr>
          <w:b/>
        </w:rPr>
        <w:t>E. 3</w:t>
      </w:r>
    </w:p>
    <w:p>
      <w:r>
        <w:t>Le recourant fait grief à l’autorité intimée d’avoir abusé de son pouvoir d’appréciation en étendant le retrait de son permis de conduire aux véhicules de la catégorie spéciale G. a) L’art. 3 al. 1 de l’ordonnance du 27 octobre 1976 réglant l’admission des personnes et des véhicules à la circulation routière (OAC ; RS 741.51 ) établit diverses catégories de permis de conduire, dont les catégories A (motocycles) et B (voitures automobiles et tricycles à moteur d’un poids inférieur à 3,5 t). L’alinéa 3 prévoit des catégories spéciales de véhicules, dont la catégorie G ; véhicules automobiles agricoles ainsi que chariots de travail, chariots à moteur et tracteurs immatriculés en tant que véhicules industriels utilisés pour des courses agricoles, dont la vitesse maximale n’excède pas 30 km/h, à l’exception des véhicules spécia ux. L’art. 33 OAC règle la portée du retrait du permis de conduire, relativement aux différentes catégories, sous-catégories et catégories spéciales au sens de l’art. 3 OAC en prévoyant que l e retrait du permis d’élève conducteur ou du permis de conduire d’une catégorie ou d’une sous-catégorie entraîne le retrait du permis d’élève conducteur et du permis de conduire de toutes les catégories, de toutes les sous-catégories et de la catégorie spéciale F (al. 1). L’autorité compétente pour prononcer le retrait peut combiner le retrait du permis d’élève conducteur ou du permis de conduire d’une catégorie ou d’une sous-catégorie avec le retrait du permis de conduire des catégories spé ciales G et M (al.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b) En l’espèce, l’autorité intimée justifie le retrait du permis de conduire à toutes les catégories, y compris les catégories spéciales, en raison de la gravité et de la répétition des infractions aux règles de la circulation routière commises par le recourant, ce qui a conduit à un retrait de sécurité du permis de conduire selon l’art. 16c al. 2 let. d LCR. Comme il a été exposé précédemment, l’art. 16c al. 2 let. d LCR impose que le permis de conduire soit retiré pour une durée indéterminée après une infraction grave, mais pour deux ans au minimum, si, au cours des dix années précédentes, le permis a été retiré à deux reprises en raison d'infractions graves ou à trois reprises en raison d'infractions qualifiées de moyennement graves au moins.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Il résulte du message du Conseil fédéral du 31 mars 1999 relatif à la modification de la LCR (FF 1999 p. 4106 ss) que l’art. 16c al. 2 let. d LCR instaure une longue période d’observation d’une durée de dix ans. La personne qui ne modifiera pas son comportement et qui commet une nouvelle infraction grave malgré trois retraits d’admonestation en raisons d’infractions moyennement graves, comme c’est le cas en l’espèce, doit être jugée inapte à conduire de par la loi, compte tenu du danger qu’elle représente pour les autres usagers de la route (FF 1999 4135). La requête tendant à la restitution du permis ne sera déclarée recevable qu’à l’échéance des délais d’attente prévus par la loi ou imposés par une décision (FF 1999 4137). Compte tenu de la présomption d’inaptitude voulue par le législateur lorsque les conditions de l’art. 16c al. 2 let. d sont réunies, c’est à juste titre que l’autorité intimée a étendu le retrait du permis de conduire à toutes les catégories, y compris les catégories spéciales. Contrairement à ce qu’en pense le recourant, il existe indubitablement un intérêt de sécurité publique qui justifie de lui interdire la conduite de tout véhicule, de quelque catégorie qu’il soit, étant donné le nombre et la gravité des infractions commises, à savoir trois infractions moyennement graves (cf. décisions des 16 janvier 2009, 14 avril 2011 et 14 mars 2012) et deux infractions graves (cf. décisions du 29 mai 2009 et 28 septembre 2012) , dans un laps de temps relativement court (4 ans). c) Il reste à examiner la quotité de la mesure prononcée. Selon l'art. 16c al. 2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(let. d). Selon l’art 16 al. 3 LCR, la nécessité professionnelle de conduire un véhicule est prise en considération pour fixer la durée du retrait, mais la durée minimale du retrait ne peut pas être réduite. Selon la jurisprudence, une interprétation de l'art. 16c LCR dans le sens d'un traitement différencié en faveur des chauffeurs professionnels est exclue, le législateur n’entendant pas qu’il puisse être dérogé aux durées minimales de retrait prévues en faveur de certaines catégories de chauffeurs particulièrement touchées par ce genre de mesure (ATF 132 II 234 consid. 2). Selon l’art. 33 al. 5 OAC, afin d’éviter les conséquences d’une rigueur excessive, le retrait du permis de conduire peut être décidé pour une durée différente selon les catégories, sous-catégories ou catégories spéciales sous réserve d’observer la durée minimale fixée par la loi, si, no tamment, le titulaire du permis a commis l’infraction justifiant le retrait avec un véhicule automobile dont il n’a pas besoin pour exercer sa profession, et jouit d’une bonne réputation en tant que conducteur du véhicule de la catégorie, sous-catégorie ou catégorie spéciale pour laquelle il s’agit d’abréger la durée du retrait (al. 5). En l'espèce, le recourant s'est vu retirer son permis de conduire au cours des dix années précédentes à trois reprises en raison d'infractions moyennement graves (décisions des 16 janvier 2009, 14 avril 2011 et 14 mars 2012) et à deux reprises en raison d’une infraction grave (décisions des 29 mai 2009 et 28 septembre 2012). Le 14 mars 2012, il a fait l’objet d’u n premier retrait de sécurité du permis de conduire, pour l’ensemble des catégories, d’une durée indéterminée mais au minimum de 2 ans, délai d’attente à l’issue duquel le retrait pouvait être révoqué sur la base de conclusions favorables d’une expertise de l’Unité de médecine et psychologie du trafic (UMPT). Nonobstant la gravité de la mesure prononcée à son encontre, le recourant a récidivé quelques mois plus tard en conduisant sans droit et en pleine connaissance de cause un véhicule dont la conduite lui avait pourtant été interdite. Le comportement du recourant démontre ainsi une absence de prise de conscience de la gravité de son comportement. Certes, le recourant fait valoir un besoin professionnel de son permis de conduire des véhicules de la catégorie G. Sur ce point, on relève que l’autorité intimée a renoncé par trois fois à étendre le retrait du permis de conduire aux catégories spéciales M et G (voir les décisions des 16 janvier 2009, 24 mai 2009 et 14 avril 2011) et qu’elle a attendu le premier retrait de sécurité, prononcé le 14 mars 2012, pour étendre le retrait aux véhicules de la catégorie G. Eu égard au besoin professionnel invoqué par le recourant, l’autorité intimée s’est alors limitée au minimum légal imposé par la loi (cf. ATF 132 II 234 précité). Nonobstant cela, le recourant a récidivé peu de temps après en conduisant un véhicule agricole alors qu’il était sous le coup d’une interdiction de conduire ce type de véhicule pour une durée de deux ans au minimum. Il n’a donc pas saisi l’opportunité qui lui était laissée d’adopter un comportement conforme aux règles de la circulation routière mais a persisté à enfreindre la loi. Partant l a décision attaquée, qui impose un délai d’attente de 5 ans pour toutes les catégories de véhicules respecte le principe de proportionnalité et échappe donc à la critique. Quant à la condition fixée pour la restitution du permis de conduire (conclusions favorables d'une expertise auprès de l'UMPT, l'Unité de médecine et de psychologie du trafic), elle apparaît appropriée pour s'assurer de l’aptitude du recourant à la conduite et vérifier qu'il a pris conscience de la dangerosité de son comportement. La décision attaquée est également confirmée sur ce point. On relève au demeurant que les conditions de l’art. 33 al. 5 OAC, qui permettent de réduire la durée du retrait du permis de conduire suivant les catégories, sous-catégories, et catégories spéciales au minimum légal, ne sont pas réalisées puisque l’infraction ayant donné lieu au retrait de permis litigieux a été commise avec un véhicule dont le recourant a précisément besoin pour exercer sa profession.</w:t>
      </w:r>
    </w:p>
    <w:p>
      <w:r>
        <w:rPr>
          <w:b/>
        </w:rPr>
        <w:t>E. 4</w:t>
      </w:r>
    </w:p>
    <w:p>
      <w:r>
        <w:t>Vu les considérants qui précèdent, le recours est rejeté, ce qui entraîne la confirmation de la décision attaquée. Les frais de la cause sont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