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CR.2012.0071 vom 15. März 2013</w:t>
      </w:r>
    </w:p>
    <w:p>
      <w:r>
        <w:t>VD Tribunal cantonal, 2013-03-15, FR</w:t>
      </w:r>
    </w:p>
    <w:p>
      <w:r>
        <w:rPr>
          <w:b/>
        </w:rPr>
        <w:t xml:space="preserve">Quelle: </w:t>
      </w:r>
      <w:r>
        <w:t>https://mcp.opencaselaw.ch/entscheid/vd_omni_CR.2012.0071</w:t>
      </w:r>
    </w:p>
    <w:p>
      <w:r>
        <w:t>FR: VD_OMNI CR.2012.0071 du 15 mars 2013</w:t>
      </w:r>
    </w:p>
    <w:p>
      <w:r>
        <w:t>IT: VD_OMNI CR.2012.0071 del 15 marzo 2013</w:t>
      </w:r>
    </w:p>
    <w:p>
      <w:pPr>
        <w:pStyle w:val="Heading2"/>
      </w:pPr>
      <w:r>
        <w:t>Regeste</w:t>
      </w:r>
    </w:p>
    <w:p>
      <w:r>
        <w:t>A. X.________/Service des automobiles et de la navigation | L'ordonnance pénale, qui retient que le recourant avait circulé au volant de son véhicule à une distance insuffisante pour circuler en file, ne comporte pratiquement aucun état de fait. Il n'y a cependant aucune raison de penser que le préfet s'est écarté des constatations de fait retenues dans le rapport de police, qui indiquait que le recourant, qui roulait à environ 120 km/h sur la voie gauche, avait suivi à une distance de 7 à 10 m le véhicule le précédant, sur une distance d'environ 1'000 m. Or, si l'intéressé désapprouvait ces faits, il lui appartenait de faire valoir ses moyens dans le cadre de la procédure pénale.</w:t>
      </w:r>
    </w:p>
    <w:p>
      <w:pPr>
        <w:pStyle w:val="Heading2"/>
      </w:pPr>
      <w:r>
        <w:t>Erwägungen</w:t>
      </w:r>
    </w:p>
    <w:p>
      <w:r>
        <w:rPr>
          <w:b/>
        </w:rPr>
        <w:t>E. 1</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1C_502/2011 du 6 mars 2012 consid. 2.1; 1C_274/2010 du 7 octobre 2010 consid. 2.1; 123 II 97 consid. 3c/aa p. 104). Le retrait d'admonestation est qualifié par la jurisprudence de mesure analogue à une sanction pénale (mais dont elle est cependant indépendante), de sorte qu'il convient de tenir compte du principe de la présomption d'innocence (ATF 122 II 359 consid. 2c p. 363 s.; 121 II 22 consid. 3b p. 26). La présomption d'innocence, garantie par les art. 32 al. 1 Cst., 10 CPP, 14 § 2 du Pacte ONU II et 6 § 2 CEDH, ainsi que son corollaire, le principe in dubio pro reo, concernent tant le fardeau de la preuve que l'appréciation des preuves (ATF 120 Ia 31 consid. 2c p. 36, et les références citées; cf. également ATF 6B_556/2012 du 29 novembre 2012 consid. 1.1).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124 IV 86 consid. 2a p. 88; 120 Ia 31 consid. 2c p. 37; cf. aussi ATF 6B_556/2012 du 29 novembre 2012 consid. 1.1). b) En l'espèce, le préfet a retenu que le recourant avait " circulé au volant de la voiture VD ****** à une distance insuffisante pour circuler en file ". L'ordonnance ne comporte pratiquement aucun état de fait; elle ne précise ainsi pas à quelle vitesse ni à quelle distance du véhicule le précédant le recourant circulait. Elle a été rendue sur la seule base du rapport de police du 11 avril 2012, qui indiquait que le recourant, qui roulait à environ 120 km/h sur la voie gauche, avait suivi à une distance de 7 à 10 mètres le véhicule le précédant, et ce, sur une distance d'environ 1'000 mètres; le préfet n'a ainsi entendu ni le recourant, qui prétendait pourtant, ainsi que cela découle du rapport de police, avoir circulé à une distance, non pas de 7 à 10 mètres, mais de 20 mètres du véhicule le précédant, ni les gendarmes, de sorte qu'il n'y a aucune raison de penser qu'il s'est écarté des constatations de fait retenues dans ledit rapport. Cela ne saurait en tout cas être déduit du seul fait qu'il n'a retenu qu'une violation simple des règles de la LCR. Or, si le recourant désapprouvait ces faits, il lui appartenait de faire valoir ses moyens dans le cadre de la procédure pénale, conformément à la jurisprudence précitée. Il se devait d'autant plus de le faire que, contrairement à ce qu'il prétend dans son recours, il ne pouvait ignorer, au moment où il a reçu l'ordonnance pénale du 27 avril 2012, que le rapport de police mentionnait une distance de 7 à 10 m ainsi qu'une vitesse de 120 km/h. Il avait en effet déjà reçu le courrier du SAN du 18 avril 2012 l'avertissant que celui-ci envisageait de prononcer une mesure de retrait de son permis de conduire à raison de tels faits. Il est vrai que la vitesse de 120 km/h environ, l'intervalle de 7 à 10 mètres et la distance de 1'000 mètres environ sur laquelle le recourant a circulé de la sorte n'ont pas été mesurés par un appareil, mais estimés par les gendarmes, comme c'est généralement le cas dans ce genre de situation. S'agissant d'une évaluation qui émane de policiers dûment formés et habitués à exercer le contrôle de la circulation, le tribunal n'a aucune raison de s'écarter des chiffres constatés par la police cantonale, d'autant plus que le recourant n'apporte aucun élément propre à remettre en cause de tels chiffres. En retenant que le recourant avait circulé le 10 avril 2012 sur la voie de gauche de l'autoroute A9 à une vitesse d'environ 120 km/h sur environ 1'000 mètres et à une distance de 7 à 10 mètres de la voiture qui le précédait, l'autorité intimée n'a pas violé le principe in dubio pro reo. c) Le recourant fait également valoir que le préfet n'a pas considéré qu'il avait commis une faute grave, puisqu'il l'a condamné à une violation simple des règles de la circulation routière selon l'art. 90 al. 1 LCR. C'est cependant le lieu de rappeler que le Tribunal fédéral a indiqué à plusieurs reprises que si les faits retenus au pénal lient en principe l'autorité et le juge administratifs, il en va différemment des questions de droit, en particulier de l'appréciation de la faute et de la mise en danger (ATF 1C_502/2011 du 6 mars 2012 consid. 2.1; 1C_353/2010 du 12 janvier 2011 consid. 1; 1C_274/2010 du 7 octobre 2010 consid. 2.1). Reste à examiner si, sur la base des éléments en sa possession, l'autorité intimée était légitimée à considérer comme grave l'infraction commise par le recourant.</w:t>
      </w:r>
    </w:p>
    <w:p>
      <w:r>
        <w:rPr>
          <w:b/>
        </w:rPr>
        <w:t>E. 2</w:t>
      </w:r>
    </w:p>
    <w:p>
      <w:r>
        <w:t>a) La loi fédérale du 19 décembre 1958 sur la circulation routière (LCR; 741.01)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Aux termes de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741.11)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 l'art. 34 al. 4 LCR et 12 al. 1 OCR;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 demi compteur " (correspondant à un intervalle de 1,8 secondes) est un standard minimum habituellement reconnu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ou lorsque, à une vitesse d'environ 110 km/h, il a suivi le véhicule précédent sur environ 1'200 mètres, à une distance oscillant entre 5 et 10 mètres (arrêt 1C_502/2011 du 6 mars 2012), ou encore lorsqu'il a circulé à une vitesse de 100 km/h environ, sur 700 mètres, à une distance située entre 7 et 10 mètres du véhicule le précédant (arrêt 1C_7/2010 du 11 mai 2010). c) Au vu de la jurisprudence exposées ci-dessus, en suivant sur environ 1'000 mètres sur la voie de gauche de l'autoroute le véhicule qui le précédait, à une distance de 7 à 10 mètres et une vitesse d'environ 120 km/h, ce qui correspond à un intervalle de 0,21 à 0.30 seconde, le recourant a commis une faute grave. La durée importante pendant laquelle l'intéressé a suivi, en violation des art. 34 al. 4 LCR et 12 al. 1 OCR, le véhicule qui le précédait ne dénote pas un comportement fortuit. Un tel comportement crée par ailleurs un danger abstrait accru et constitue, objectivement, une violation grave des règles de la circulation. Le recourant aurait en effet été incapable d'éviter une collision, si le véhicule qui le précédait avait subitement freiné. A cette allure, un choc entre deux véhicules peut avoir des conséquences très graves. C'est donc à raison que la décision querellée retient que le recourant a commis une infraction grave. Le permis de conduire doit lui être retiré pour une durée minimale de trois mois (art. 16c al. 2 let. a LCR). Il n’est pas nécessaire d’examiner la pertinence du besoin professionnel du permis de conduire pour l’intéressé ni de tenir compte de son absence d'antécédents, puisqu’il n’est de toute façon pas possible de réduire la durée de la mesure prononcée par le SAN à son encontre (art. 16 al. 3 LCR).</w:t>
      </w:r>
    </w:p>
    <w:p>
      <w:r>
        <w:rPr>
          <w:b/>
        </w:rPr>
        <w:t>E. 3</w:t>
      </w:r>
    </w:p>
    <w:p>
      <w:r>
        <w:t>Le recours doit ainsi être rejeté et la décision attaquée confirmée. Les frais sont mis à la charge du recourant, qui n'a pas droit à des dépens (art. 49 al. 1 et 55 al. 1 a contrario de la loi du 28 octobre 2008 sur la procédure administrative [LPA-VD; RSV 173.36]).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