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CR.2012.0067 vom 19. Februar 2013</w:t>
      </w:r>
    </w:p>
    <w:p>
      <w:r>
        <w:t>VD Tribunal cantonal, 2013-02-19, FR</w:t>
      </w:r>
    </w:p>
    <w:p>
      <w:r>
        <w:rPr>
          <w:b/>
        </w:rPr>
        <w:t xml:space="preserve">Quelle: </w:t>
      </w:r>
      <w:r>
        <w:t>https://mcp.opencaselaw.ch/entscheid/vd_omni_CR.2012.0067</w:t>
      </w:r>
    </w:p>
    <w:p>
      <w:r>
        <w:t>FR: VD_OMNI CR.2012.0067 du 19 février 2013</w:t>
      </w:r>
    </w:p>
    <w:p>
      <w:r>
        <w:t>IT: VD_OMNI CR.2012.0067 del 19 febbraio 2013</w:t>
      </w:r>
    </w:p>
    <w:p>
      <w:pPr>
        <w:pStyle w:val="Heading2"/>
      </w:pPr>
      <w:r>
        <w:t>Regeste</w:t>
      </w:r>
    </w:p>
    <w:p>
      <w:r>
        <w:t>A. X.________/Service des automobiles et de la navigation | Recours contre un retrait de permis d'une durée de 4 mois. Le recourant, chauffeur professionnel, a pris le volant sans vérifier la fermeture de la porte coulissante de la remorque de son camion ni assurer le transpalette électrique qui y était chargé. Celui-ci est tombé sur la chaussée d'une bretelle d'autoroute. L'infraction est qualifiée de moyennement grave. Vu les antécédents du recourant, 4 mois est la durée minimum de retrait. Celle-ci est incompressible et applicable à toutes les catégories de permis. Rejet du recours.</w:t>
      </w:r>
    </w:p>
    <w:p>
      <w:pPr>
        <w:pStyle w:val="Heading2"/>
      </w:pPr>
      <w:r>
        <w:t>Erwägungen</w:t>
      </w:r>
    </w:p>
    <w:p>
      <w:r>
        <w:rPr>
          <w:b/>
        </w:rPr>
        <w:t>E. 1</w:t>
      </w:r>
    </w:p>
    <w:p>
      <w:r>
        <w:t>A. X.________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Dans la décision attaquée, le SAN a qualifié de moyennement grave l'infraction commise par A. X.________. a)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TF 1C_425/2012 du 17 décembre 2012, consid. 4.1).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57 al. 1 OCR dispose que le conducteur s’assurera que le véhicule et son chargement répondent aux prescriptions et qu’il dispose des accessoires nécessaires tels que le signal de panne. L'art. 30 al. 2 2 ème ph. LCR prévoit que le chargement des véhicules doit être disposé de telle manière qu’il ne mette en danger ni ne gène personne et qu’il ne puisse tomber. La jurisprudence relève que la stabilité d'un chargement doit non seulement être assurée en vue du trafic normal et des freinages subits qui en font partie, mais aussi en vue de petits accidents . En effet, si de tels accidents n'affectent le plus souvent pas gravement le véhicule, ils peuvent néanmoins avoir des conséquences graves en cas d'instabilité du chargement, lequel pourrait par exemple basculer en atteignant d'autres usagers (cf. TF 1C_223/2008 du 8 janvier 2009, consid. 2.3). Dans cet arrêt, le Tribunal fédéral a jugé que la mise en danger occasionnée par la conduite sur l'autoroute d'une camionnette dans laquelle était chargée une voiture qui n'avait été assurée ni par l'accrochage d'un treuil ni par des sangles, mais avec de simples cales-roues, ne pouvait être qualifiée de bénigne au sens de l'art. 16a LCR, que la faute du conducteur, qui était professionnel et avait par ailleurs téléphoné sans dispositif mains-libres en conduisant, se rapprochait quant à elle d'un cas grave, et qu'en somme l'infraction devait être qualifiée de moyennement grave. b) En l'espèce, le recourant, chauffeur professionnel, a pris le volant sans vérifier la fermeture de la porte coulissante de la remorque de son camion ni assurer le transpalette électrique d'environ une tonne qui y était chargé. Le transpalette est tombé sur la chaussée alors que le camion roulait sur une bretelle d'entrée d'autoroute. Le cas est proche de l'affaire jugée par le Tribunal fédéral susmentionnée. A cet égard, si la mise en danger peut certes paraître plus grave par le fait d'avoir roulé sans bloquer le dispositif de fermeture de la porte, en plus de ne pas assurer son chargement, la faute semble moindre par le fait ne pas avoir téléphoné en conduisant. A l'instar du Tribunal fédéral dans l'affaire précitée, le SAN n'a ainsi pas violé le droit fédéral en qualifiant de moyennement grave l'infraction commise par le recourant, ce que celui-ci ne conteste d'ailleurs pas.</w:t>
      </w:r>
    </w:p>
    <w:p>
      <w:r>
        <w:rPr>
          <w:b/>
        </w:rPr>
        <w:t>E. 3</w:t>
      </w:r>
    </w:p>
    <w:p>
      <w:r>
        <w:t>A. X.________ conteste la mesure qui lui a été infligée en concluant à ce que la durée de retrait de son permis de conduire de poids-lourd soit réduite de quatre à un mois et que celle de son permis de voiture soit prononcée pour trois à quatre mois. a) Le retrait du permis d’élève conducteur ou du permis de conduire d’une catégorie ou d’une sous-catégorie entraîne le retrait du permis d’élève conducteur et du permis de conduire de toutes les catégories, de toutes les sous-catégories et de la catégorie spéciale F (art. 33 al. 1 de l'ordonnance fédérale du 27 octobre 1976 réglant l’admission des personnes et des véhicules à la circulation routière [ordonnance réglant l’admission à la circulation routière; OAC; RS 741.51]). Il ressort du cinquième alinéa de cette disposition qu'afin d’éviter les conséquences d’une rigueur excessive, le retrait du permis de conduire peut être décidé pour une durée différente selon les catégories, sous-catégories ou catégories spéciales sous réserve d’observer la durée minimale fixée par la loi, si, notamment, le titulaire du permis: a commis l’infraction justifiant le retrait avec un véhicule automobile dont il n’a pas besoin pour exercer sa profession (let. a), et jouit d’une bonne réputation en tant que conducteur du véhicule de la catégorie, sous-catégorie ou catégorie spéciale pour laquelle il s’agit d’abréger la durée du retrait (let. b). Cette différenciation des durées de retrait selon les catégories, afin d'éviter une rigueur excessive, n'est ainsi possible que sous réserve d'observer pour toutes les catégories la durée minimale fixée par la loi (cf. ATF 132 II 234 consid. 2.3). A près une infraction moyennement grave, le permis de conduire est retiré pour quatre mois au minimum si, au cours des deux années précédentes, le permis a été retiré une fois en raison d’ une infraction grave ou moyennement g rave (art. 16b al. 2 let. b LCR). Il ressort de l'art. 16 al. 3 LCR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mais que la durée minimale du retrait ne peut toutefois être réduite. Selon la jurisprudence fédérale, cette dernière règle confère aux durées de retrait minimales prévues par la loi un caractère incompressible (TF 1C_504/2011 du 17 avril 2012, consid. 2.6; ATF 132 II 234 consid. 2.3). Selon la jurisprudence fédérale, le législateur a exclu la possibilité pour le conducteur fautif d'exécuter un retrait de permis en plusieurs périodes, qu'il soit prononcé tant pour une courte durée à raison d'une infraction légère ou moyennement grave, que pour une durée de trois mois en cas d'infraction grave (cf. ATF 134 II 39, consid. 3). Le Tribunal fédéral a ainsi jugé que le retrait d'admonestation du permis de conduire est une mesure administrative ordonnée dans l'intérêt de la sécurité routière, qui vise à amender le conducteur fautif et à éviter les récidives, même si elle revêt également un aspect pénal;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La faculté reconnue au conducteur fautif par la pratique et la doctrine d'obtenir un report de l'exécution de la mesure de retrait pour lui permettre d'organiser son emploi du temps en conséquence tient suffisamment compte des intérêts publics et privés en jeu. b) En l'espèce, le recourant a fait l'objet d'une mesure de retrait pour infraction moyennement grave qui a été prononcée le 14 juillet 2010 et a pris fin le 7 novembre 2010. Il a commis l'infraction litigieuse le 9 mars 2012, soit dans le délai de deux ans de l'art. 16b al. 2 let. b LCR. En application de cette disposition, son permis de conduire doit donc lui être retiré pour un minimum de quatre mois, cette durée étant incompressible et applicable à toutes ses catégories de permis. Il est par ailleurs exclu de pouvoir exécuter cette mesure en plusieurs périodes. Partant, la mesure litigieuse est conforme au droit fédéral. Le recours, mal fondé, doit dès lors être rejeté et la décision attaquée confirmée.</w:t>
      </w:r>
    </w:p>
    <w:p>
      <w:r>
        <w:rPr>
          <w:b/>
        </w:rPr>
        <w:t>E. 4</w:t>
      </w:r>
    </w:p>
    <w:p>
      <w:r>
        <w:t>Les considérants qui précèdent conduisent au rejet du recours et à la confirmation de la décision attaquée. Un émolument de justice sera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