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CR.2012.0028 vom 15. Mai 2012</w:t>
      </w:r>
    </w:p>
    <w:p>
      <w:r>
        <w:t>VD Tribunal cantonal, 2012-05-15, FR</w:t>
      </w:r>
    </w:p>
    <w:p>
      <w:r>
        <w:rPr>
          <w:b/>
        </w:rPr>
        <w:t xml:space="preserve">Quelle: </w:t>
      </w:r>
      <w:r>
        <w:t>https://mcp.opencaselaw.ch/entscheid/vd_omni_CR.2012.0028</w:t>
      </w:r>
    </w:p>
    <w:p>
      <w:r>
        <w:t>FR: VD_OMNI CR.2012.0028 du 15 mai 2012</w:t>
      </w:r>
    </w:p>
    <w:p>
      <w:r>
        <w:t>IT: VD_OMNI CR.2012.0028 del 15 maggio 2012</w:t>
      </w:r>
    </w:p>
    <w:p>
      <w:pPr>
        <w:pStyle w:val="Heading2"/>
      </w:pPr>
      <w:r>
        <w:t>Regeste</w:t>
      </w:r>
    </w:p>
    <w:p>
      <w:r>
        <w:t>X.________ c/Service des automobiles et de la navigation | Rappel des règles sur le délai de garde des plis recommandés par la Poste, et de l'obligation de celui qui s'absente en cours de procédure, de prendre les dispositions nécessaires pour agir à temps. En l'occurrence, dépassement du délai pour le paiement de l'avance de frais.</w:t>
      </w:r>
    </w:p>
    <w:p>
      <w:pPr>
        <w:pStyle w:val="Heading2"/>
      </w:pPr>
      <w:r>
        <w:t>Erwägungen</w:t>
      </w:r>
    </w:p>
    <w:p>
      <w:r>
        <w:rPr>
          <w:b/>
        </w:rPr>
        <w:t>E. 1</w:t>
      </w:r>
    </w:p>
    <w:p>
      <w:r>
        <w:t>Aux termes de l’art. 47 de la loi du 28 octobre 2008 sur la procédure administrative (LPA-VD, RSV 173.36), le recourant est en principe tenu de fournir une avance de frais (al. 2); l’autorité impartit au recourant un délai pour cela, et l’avertit qu’à défaut de paiement dans le délai fixé, elle n’entrera pas en matière sur le recours (al. 3). L’avis du 29 mars 2012 rappelle ces principes. En l’occurrence, le recourant n’a pas versé l’avance réclamée; le recours est partant irrecevable.</w:t>
      </w:r>
    </w:p>
    <w:p>
      <w:r>
        <w:rPr>
          <w:b/>
        </w:rPr>
        <w:t>E. 2</w:t>
      </w:r>
    </w:p>
    <w:p>
      <w:r>
        <w:t>a) Un envoi recommandé qui n'a pas pu être dis­tribué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 et les arrêts cités). Lorsque le destinataire donne l’ordre à la Poste de conserver son courrier, l’envoi recommandé est réputé notifié le dernier jour du délai de garde suivant la réception du pli par l’office postal du lieu de domicile du destinataire (ATF 127 I 31 consid. 2ab p. 34/35).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119 V 89 consid. consid. 4b/aa p. 94; 117 V 131 consid. 4a p. 132/133 , et les arrêts cités ). Tel est notamment le cas de celui qui s’adresse à l’autorité de recours. b) Le recourant est réputé avoir reçu l’avis du 29 mars 2012 sept jours après le délai de garde, soit le jeudi 5 avril 2012. Il disposait à cet effet du temps nécessaire pour effectuer l’avance requise, dans le délai fixé au 18 avril 2012. Or, il ne l’a pas fait.</w:t>
      </w:r>
    </w:p>
    <w:p>
      <w:r>
        <w:rPr>
          <w:b/>
        </w:rPr>
        <w:t>E. 3</w:t>
      </w:r>
    </w:p>
    <w:p>
      <w:r>
        <w:t>Le recours est ainsi irrecevable. Il se justifie de statuer sans frais (art. 49 et 50 LPA-VD).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