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CR.2012.0022 vom 28. September 2012</w:t>
      </w:r>
    </w:p>
    <w:p>
      <w:r>
        <w:t>VD Tribunal cantonal, 2012-09-28, FR</w:t>
      </w:r>
    </w:p>
    <w:p>
      <w:r>
        <w:rPr>
          <w:b/>
        </w:rPr>
        <w:t xml:space="preserve">Quelle: </w:t>
      </w:r>
      <w:r>
        <w:t>https://mcp.opencaselaw.ch/entscheid/vd_omni_CR.2012.0022</w:t>
      </w:r>
    </w:p>
    <w:p>
      <w:r>
        <w:t>FR: VD_OMNI CR.2012.0022 du 28 septembre 2012</w:t>
      </w:r>
    </w:p>
    <w:p>
      <w:r>
        <w:t>IT: VD_OMNI CR.2012.0022 del 28 settembre 2012</w:t>
      </w:r>
    </w:p>
    <w:p>
      <w:pPr>
        <w:pStyle w:val="Heading2"/>
      </w:pPr>
      <w:r>
        <w:t>Regeste</w:t>
      </w:r>
    </w:p>
    <w:p>
      <w:r>
        <w:t>A. X.________ c/Service des automobiles et de la navigation | Conduite en état d'ébriété (1,28 g 0/00) et dérobade à une prise de sang. Infractions graves au sens des art. 16c al. 1 let. b et d LCR. Les conditions pour s'écarter des faits retenus par le juge pénal ne sont pas réalisées. S'étant déjà vu retirer son permis de conduire à deux reprises pour infractions graves au cours des dix dernières années, le recourant, en état de récidive au sens de l'art. 16c al. 2 let. d LCR, doit faire l'objet d'un retrait d'une durée indéterminée, mais d'au minimum 24 mois. La décision attaquée, qui s'en tient à cette durée minimale, ne peut qu'être confirmée. Recours rejeté.</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Le recourant a requis la tenue d'une audience en vue d'être entendu et de procéder à l'audition du Dr Z.________.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précité consid. 2.1 et les arrêts cités; 122 V 157 consid. 1d p. 162; 119 Ib 492 consid. 5b/bb p. 505 s.). b) En l'espèce, le tribunal estime que la tenue d’une audience ne se justifie pas et qu'il n'y a pas lieu de donner suite à la mesure d'instruction requise par le recourant. En effet,  dans le cadre de son expertise tendant à la détermination du taux d'alcoolémie du recourant, le Dr Z.________ a expressément retenu un facteur de correction équivalant à 0.68 g/kg, correspondant à la correction pour l'alcool consommé par le recourant entre le moment critique et la prise de sang. Ce faisant, l'expert a tenu compte de la consommation d'alcool à domicile du recourant. Le taux retenu par le magistrat pénal, de 1,28 g ‰, correspond en définitive au taux d'alcoolémie présenté par le recourant au moment où il a cessé de conduire. Il ne se justifie dans ces conditions pas de procéder à l'audition du Dr Z.________ sur un point soulevé par le recourant qui résulte expressément de l'expertise de ce praticien. Pour le surplus, le recourant a eu l'occasion de développer ses moyens dans le cadre de son recours, ce qui est suffisant pour que la cour puisse se forger sa conviction.</w:t>
      </w:r>
    </w:p>
    <w:p>
      <w:r>
        <w:rPr>
          <w:b/>
        </w:rPr>
        <w:t>E. 3</w:t>
      </w:r>
    </w:p>
    <w:p>
      <w:r>
        <w:t>Le recourant conteste le taux d'alcoolémie retenu par le juge pénal, de 1,28 g ‰, découlant d'un calcul rétroactif effectué par l'expert mandaté par le procureur, ainsi que l'existence d'un choc entre son véhicule et celui de l'automobiliste Y.________. a)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et les arrêts cités; cf. également, en dernier lieu, arrêts CR.2007.0322 du 11 février 2008; CR.2007.0319 du 28 janvier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En vertu des règles de la bonne foi, l'accusé ne peut en effet attendre la procédure administrative pour exposer ses arguments (ATF 1C_502/2011 du 6 mars 2012 consid. 2.1; 1C_274/2010 du 7 octobre 2010 consid. 2.1; 1C_29/2007 du 27 août 2007). Si les faits retenus au pénal lient en principe l'autorité et le juge administratifs, il en va différemment des questions de droit, en particulier de l'appréciation de la faute et de la mise en danger (ATF 1C_502/2011 du 6 mars 2012 consid. 2.1; 1C_353/2010 du 12 janvier 2011 consid. 2.1; 1C_274/2010 du 7 octobre 2010 consid. 2.1; 1C_585/2008 du 14 mai 2009 consid. 3.1; 1C_222/2008 du 18 novembre 2008 consid. 2.4). b) En l'occurrence, la décision attaquée de l'autorité intimée se fonde sur l'état de fait retenu par le juge pénal dans le cadre de son ordonnance du 18 juillet 2011. Comme indiqué au considérant 2 ci-dessus, le taux d'alcoolémie retenu correspond à celui calculé par le Centre Universitaire Romand de Médecine Légale, sous la plume du Dr Z.________, mandaté par le procureur en charge du dossier. Or, il a été vu que le taux retenu par le magistrat pénal, de 1,28 g ‰, correspondait en définitive au taux d'alcoolémie présenté par le recourant au moment où celui-ci avait cessé de conduire. Il n'y a rien à redire à ce sujet. Le grief selon lequel l'ordonnance pénale ne contient pas d'indication sur les quantités d'alcool consommées par le recourant doit aussi être écarté, dès lors que l'expert Z.________ s'est expressément fondé sur les déclarations à ce sujet du recourant pour déterminer le taux d'alcoolémie de ce dernier On ne saurait dans ces conditions retenir, à l'instar du recourant, que la preuve sur laquelle le procureur s'est fondé pour déterminer son taux d'alcoolémie serait insuffisante. S'agissant des dégâts causés au véhicule Y.________, l'ordonnance pénale se fonde sur le rapport de police, notamment sur les déclarations de B. Y.________ et sur le constat des agents de police qui sont intervenus sur place. Les preuves étaient ainsi parfaitement suffisantes. Dans ces conditions, il n'existait aucune raison pour l'autorité intimée de s'écarter des constatations de fait de l'ordonnance pénale entrée en force et rendue à l'encontre du recourant. Le recourant entend substituer son appréciation à celle du juge pénal. Or, comme rappelé ci-dessus, c'est dans le cadre de la procédure pénale qu'il devait le faire, en faisant valoir ses moyens devant le magistrat en charge de son dossier, notamment en requérant des mesures d'instructions s'il le jugeait utile et, en tout état de cause et le cas échéant, en s'opposant à l'ordonnance de condamnation. Il devait d'autant le faire que par courrier du 1 er juillet 2011, l'autorité intimée l'avait avisé qu'elle avait ouvert une procédure à son encontre qui devait aboutir à une mesure de retrait de son permis de conduire. Le principe de la bonne foi commandait ainsi que le recourant fasse valoir ses moyens de défense dans le cadre de cette procédure pénale. Le fait que dans cet avis du 1 er juillet 2011 il ne lui était pas encore reproché d'avoir conduit en état d'ébriété n'y change rien, dès lors que, comme on le verra ci-dessous, l'infraction de dérobade à une prise de sang, respectivement à l'alcootest ou à tout autre examen préliminaire, constitue aussi une faute grave au sens de la LCR. Pour le surplus, il sied d'admettre que le juge pénal a pris en considération tous les faits pertinents de la cause. Son appréciation ne se heurte pas aux faits constatés. Enfin, le recourant n'apporte aucune preuve nouvelle, la mesure d'instruction requise ayant été écartée pour les motifs exposés au considérant 2 ci-dessus. Il résulte de ce qui précède que c'est à tort et en vain que le recourant conteste l'état de fait retenu par l'ordonnance pénale du 18 juillet 2011, repris par l'autorité intimée dans le cadre de la décision attaquée.</w:t>
      </w:r>
    </w:p>
    <w:p>
      <w:r>
        <w:rPr>
          <w:b/>
        </w:rPr>
        <w:t>E. 4</w:t>
      </w:r>
    </w:p>
    <w:p>
      <w:r>
        <w:t>a) La LCR distingue entre les cas de peu de gravité, les cas de gravité moyenne et les cas graves (art. 16a à 16c LCR). Commet une infraction légère notamment la personne qui, en violant les règles de la circulation routière,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En matière de consommation d'alcool, aux termes de l’art. 16c al. 1 let. b de la loi fédérale du 19 décembre 1958 sur la circulation routière (LCR; RS 741.01), commet une infraction grave la personne qui conduit un véhicule automobile en état d’ébriété et présente un taux d’alcoolémie qualifié, soit égal ou supérieur à 0,8 g ‰ (art. 55 al. 6 LCR, art. 1 er de l'Ordonnance de l'Assemblée fédérale concernant les taux d'alcoolémie limites admis en matière de circulation routière du 21 mars 2003 [RS 741.13]). Cette disposition ne modifie pas la réglementation qui résultait précédemment de l'art. 16 al. 3 let. b LCR en vigueur jusqu'au 31 décembre 2004. En l'espèce, il résulte de l'ordonnance pénale que le taux d'alcoolémie présenté par le recourant au moment où il a cessé de conduire s'élevait à 1,28 ‰ . Il s'agit d'un taux qualifié, de sorte que conformément à l'art. 16c al. 1 let. b LCR, l'infraction commise par le recourant constitue une infraction grave. c) Selon l'art. 16c al. 1 let. d LCR, commet aussi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En l'occurrence, c'est à juste titre que le juge pénal a condamné le recourant pour s'être dérobé à ces mesures de contrôle de son incapacité de conduire. En effet, à raison des faits qui ont été retenus à son égard, et qu'il n'y a encore une fois pas lieu de remettre en cause, le recourant savait, ou à tout le moins devait-il s'y attendre, qu'il serait soumis à un tel contrôle. Il devait d'autant plus le savoir qu'il avait déjà fait l'objet de très nombreux retraits de son permis de conduire par le passé, pour des périodes longues. En quittant les lieux de son accrochage avec le véhicule Y.________, il s'est dérobé à ce contrôle. C'est par conséquent à raison que là aussi, l'autorité intimée a retenu que la faute commise par le recourant constituait aussi une faute grave.</w:t>
      </w:r>
    </w:p>
    <w:p>
      <w:r>
        <w:rPr>
          <w:b/>
        </w:rPr>
        <w:t>E. 5</w:t>
      </w:r>
    </w:p>
    <w:p>
      <w:r>
        <w:t>Selon l'art. 16c al. 2 let. d LCR, 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En l'occurrence, comme indiqué au considérant qui précède, le recourant s'est rendu coupable d'infractions graves à la LCR. Or, son permis a été retiré à deux reprises en raison d'infractions graves moins de dix ans avant les faits objets de la présente cause, savoir les</w:t>
      </w:r>
    </w:p>
    <w:p>
      <w:r>
        <w:rPr>
          <w:b/>
        </w:rPr>
        <w:t>E. 8</w:t>
      </w:r>
    </w:p>
    <w:p>
      <w:r>
        <w:t>août 2006 et 11 février 2008. Dans ces conditions, c'est à juste titre que l'autorité intimée a prononcé à son encontre un retrait pour une durée indéterminée, mais pour 24 mois au moins, correspondant au minimum légal. La décision entreprise ne prête par conséquent pas le flanc à la critique sur ce point. 6. Selon l'art. 17 al. 3 LCR, le permis d'élève ou le permis de conduire retiré pour une durée indéterminée peut être restitué à certaines conditions après expiration d'un délai d'attente légal ou prescrit si la personne concernée peut prouver que son inaptitude a disparu. En l'occurrence, le retrait pour une durée indéterminée, mais d'au moins 24 mois, du permis de conduire du recourant devant être confirmé, c'est à raison que l'autorité intimée a soumis la révocation de la mesure de retrait à des conclusions favorables d'une expertise auprès de l'UMPT. S'agissant de cette expertise comme condition à la restitution du permis de conduire du recourant, elle apparaît tout à fait appropriée pour s'assurer que l'inaptitude à la conduite a disparu et que le recourant a – enfin, eu égard aux très nombreux retraits déjà prononcés pour des motifs similaires – pris conscience de la dangerosité de son comportement. En cela, cette condition répond au principe de proportionnalité. 7. Il résulte des considérants qui précèdent que mal fondé, le recours doit être rejeté et la décision attaquée, confirmée. Les frais sont mis à la charge du recourant, qui n’a pas droit à des dépens (art. 49 al. 1 et 55 al. 1 a contrario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