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CR.2012.0018 vom 8. Januar 2013</w:t>
      </w:r>
    </w:p>
    <w:p>
      <w:r>
        <w:t>VD Tribunal cantonal, 2013-01-08, FR</w:t>
      </w:r>
    </w:p>
    <w:p>
      <w:r>
        <w:rPr>
          <w:b/>
        </w:rPr>
        <w:t xml:space="preserve">Quelle: </w:t>
      </w:r>
      <w:r>
        <w:t>https://mcp.opencaselaw.ch/entscheid/vd_omni_CR.2012.0018</w:t>
      </w:r>
    </w:p>
    <w:p>
      <w:r>
        <w:t>FR: VD_OMNI CR.2012.0018 du 8 janvier 2013</w:t>
      </w:r>
    </w:p>
    <w:p>
      <w:r>
        <w:t>IT: VD_OMNI CR.2012.0018 del 8 gennaio 2013</w:t>
      </w:r>
    </w:p>
    <w:p>
      <w:pPr>
        <w:pStyle w:val="Heading2"/>
      </w:pPr>
      <w:r>
        <w:t>Regeste</w:t>
      </w:r>
    </w:p>
    <w:p>
      <w:r>
        <w:t>A. X.________/Service des automobiles et de la navigation | Confirmation de la décision du SAN de prononcer le retrait du permis de conduire du recourant pendant un mois pour n'avoir pas accordé la priorité à un autre véhicule en quittant un "Cédez-le-passage", causant un accident.</w:t>
      </w:r>
    </w:p>
    <w:p>
      <w:pPr>
        <w:pStyle w:val="Heading2"/>
      </w:pPr>
      <w:r>
        <w:t>Erwägungen</w:t>
      </w:r>
    </w:p>
    <w:p>
      <w:r>
        <w:rPr>
          <w:b/>
        </w:rPr>
        <w:t>E. 1</w:t>
      </w:r>
    </w:p>
    <w:p>
      <w:r>
        <w:t>Déposé dans le délai de trente jours prévu par l’art. 77 de la loi vaudoise du 28 octobre 2008 sur la procédure administrative (LPA-VD; RSV 173.36), le recours est intervenu en temps utile. Il est au surplus recevable en la forme.</w:t>
      </w:r>
    </w:p>
    <w:p>
      <w:r>
        <w:rPr>
          <w:b/>
        </w:rPr>
        <w:t>E. 2</w:t>
      </w:r>
    </w:p>
    <w:p>
      <w:r>
        <w:t>Est litigieuse la question de savoir si c'est à juste titre que l'autorité intimée a prononcé le retrait du permis de conduire du recourant pour une durée d'un mois.</w:t>
      </w:r>
    </w:p>
    <w:p>
      <w:r>
        <w:rPr>
          <w:b/>
        </w:rPr>
        <w:t>E. 3</w:t>
      </w:r>
    </w:p>
    <w:p>
      <w:r>
        <w:t>a) Selon l'art. 26 al. 1 LCR, chacun doit se comporter, dans la circulation, de manière à ne pas gêner ni mettre en danger ceux qui utilisent la route conformément aux règles établies. Par ailleurs, chacun se conformera aux signaux et aux marques (art. 27 al. 1, 1 ère phrase LCR). Aux termes de l'art. 3 al. 1, 1 ère phrase de l'ordonnance du 13 novembre 1962 sur la circulation routière (OCR; RS 741.11), le conducteur vouera son attention à la route et à la circulation. C elui qui est tenu d’accorder la priorité ne doit pas gêner dans sa marche le conducteur bénéficiaire de la priorité. Il réduira sa vitesse à temps et, s’il doit attendre, s’arrêtera avant le début de l’intersection (art. 14 al. 1 OCR). Le signal «Cédez le passage» oblige le conducteur à accorder la priorité aux véhicules circulant sur la route dont il s’approche (art. 36 al. 2 de l'ordonnance du 5 septembre 1979 sur la signalisation routière [OSR; RS 741.21] ). b)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Lorsque la procédure prévue par la LAO n’est pas applicable, une infraction aux prescriptions sur la circulation routière entraîne le retrait du permis d’élève-conducteur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p. 383).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René Schaffhauser, Die neuen Administrativmassnahmen des Strassenverkehrsgesetzes, in Jahrbuch zum Strassenverkehrsrecht 2003, p. 186; cf., pour une catégorisation plus exhaustive des cas moyennement graves, Cédric Mizel, Les nouvelles dispositions légales sur le retrait du permis de conduire, in RDAF 2004 I 361 et ss, not. 392; v. ATF 6A.16/2006 du 6 avril 2006). c) Les règles de subordination imposées dans les situations où la loi donne à des usagers une primauté sur d'autres sont un fondement essentiel de la circulation routière (Bussy/Rusconi, Code suisse de la circulation routière annoté [1996], ch. 3.1.2 ad art. 36 LCR). D'après la jurisprudence du tribunal de céans, le refus de la priorité à un "Cédez le passage" avec collision avec un véhicule bénéficiant de la priorité est généralement constitutif d'une infraction moyennement grave (CR.2010.0050 du 6 décembre 2010 consid. 2; CR.2008.0164 du 8 janvier 2009 consid. 4; CR.2007.0139 du 29 février 2008 consid. 6). d) En l'espèce, s'agissant de la faute, celle que le recourant a commise consiste en ce qu'il n'a pas voué au trafic toute l'attention qu'un conducteur prudent se doit d'observer lorsqu'il quitte un "Cédez le passage" pour s'engager sur une route prioritaire et qu'il n'a pas accordé la priorité à un véhicule qui en bénéficiait. Le Tribunal de police a qualifié cette faute de légère et le SAN a admis que cet avis pouvait être suivi. Toutefois, en provoquant une collision avec un véhicule qui bénéficiait de la priorité, le recourant a créé une mise en danger concrète. Conformément à la jurisprudence précitée, l'infraction doit dès lors être qualifiée de moyennement grave au sens de l'art. 16b al. 1 let. a LCR. C'est par conséquent à juste titre que le SAN a prononcé le retrait du permis de conduire du recourant pendant un mois, en application de l'art. 16b al. 2 let. a LCR.</w:t>
      </w:r>
    </w:p>
    <w:p>
      <w:r>
        <w:rPr>
          <w:b/>
        </w:rPr>
        <w:t>E. 4</w:t>
      </w:r>
    </w:p>
    <w:p>
      <w:r>
        <w:t>Le recourant fait valoir que l'autorité pénale a qualifié sa faute de légère. a)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119 Ib 158 consid. 3c/aa p. 164; 105 Ib 18 consid. 1a p. 19; 101 Ib 270 consid. 1b p. 273 s.; 96 I 766 consid. 5 p. 774 s.). S'agissant de la qualification de la faute par l'autorité pénale et l'autorité administrative, le Tribunal fédéral a précisé qu'alors que la violation grave de règles de la circulation au sens de l'art. 90 ch. 2 LCR correspond au cas grave de l'art. 16c al. 1 let. a LCR (ATF 123 II 37 consid. 1b p. 38), la violation simple selon l'art. 90 ch. 1 LCR recouvre tant le cas de peu de gravité que le cas de gravité moyenne des art. 16a al. 1 let. a et 16b al. 1 let. a LCR (ATF 128 II 139 consid. 2c p. 143; cf. également arrêt CDAP CR.2005.0443 du 10 novembre 2006 consid. 4). b) En l'espèce, le Tribunal de police a qualifié la faute commise par le recourant de légère et le SAN a admis que cet avis pouvait être suivi. Il n'y a donc pas de contradiction entre les prononcés pénal et administratif. Par ailleurs, comme relevé ci-dessus (consid. 3b), la qualification de la gravité d'une infraction dépend non seulement de la faute mais également de la mise en danger du trafic induite et il convient de considérer comme moyennement grave l’infraction constituée d’une mise en danger grave ou moyennement grave et d’une faute légère. En l'occurrence, en provoquant une collision avec un véhicule qui bénéficiait de la priorité, le recourant a créé une mise en danger concrète. C'est dès lors à juste titre que le SAN a qualifié l'infraction commise de moyennement grave.</w:t>
      </w:r>
    </w:p>
    <w:p>
      <w:r>
        <w:rPr>
          <w:b/>
        </w:rPr>
        <w:t>E. 5</w:t>
      </w:r>
    </w:p>
    <w:p>
      <w:r>
        <w:t>En faisant valoir que l'autre automobiliste impliqué dans l'accident a peut-être également fait preuve d'inattention, dès lors que son chien se tenait, sans être attaché, sur le siège passager avant de son véhicule, le recourant se prévaut du principe de la confiance. a)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viole des règles de la circulation et crée ainsi une situation confuse ou dangereuse ne peut pas attendre des autres qu'ils parent à ce danger par une attention accrue (ATF 6S.341/2005 du 27 octobre 2005 consid. 1.1.1). b) En l'espèce, à l'instar de l'autorité pénale, on relève qu'à supposer que l'autre automobiliste ait été inattentive, cette circonstance n'est toutefois pas de nature à diminuer la responsabilité du recourant, débiteur de la priorité. C'est donc bien du fait que le recourant a lui-même été inattentif qu'il n'a pas vu l'autre véhicule et qu'il ne lui a pas accordé la priorité. Et, ce faisant, il a violé les règles de la circulation. Au surplus, il ressort de l'instruction menée par l'autorité pénale que l'autre automobiliste circulait à une vitesse adéquate et adaptée à la configuration des lieux.</w:t>
      </w:r>
    </w:p>
    <w:p>
      <w:r>
        <w:rPr>
          <w:b/>
        </w:rPr>
        <w:t>E. 6</w:t>
      </w:r>
    </w:p>
    <w:p>
      <w:r>
        <w:t>Le recourant fait valoir que personne n'a été blessé dans l'accident. Effectivement, personne n'a été blessé et la collision n'a donné lieu qu'à des dégâts matériels. Il y a eu néanmoins un choc important entre deux véhicules. Et s'il n'a pas entraîné de conséquences plus graves, ceci tient au hasard. Il eût suffit que le véhicule bénéficiant de la priorité survienne un peu plus tôt ou un peu plus tard, que la position respective des véhicules soit différente, pour que l'accident ait d'autres suites, plus sérieuses ou plus bénignes, voire ne se produise pas. C'est donc juste titre que la décision querellée retient que le recourant a commis une infraction moyennement grave. Ordonnée pour la durée minimale d'un mois, conformément aux art. 16 al. 3 et 16b al. 2 let. a LCR, la mesure attaquée ne peut qu'être confirmée.</w:t>
      </w:r>
    </w:p>
    <w:p>
      <w:r>
        <w:rPr>
          <w:b/>
        </w:rPr>
        <w:t>E. 7</w:t>
      </w:r>
    </w:p>
    <w:p>
      <w:r>
        <w:t>Au vu de ce qui précède, le recours doit être rejeté et la décision entreprise confirmée. Vu le sort du recours, les frais de la cause sont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