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CR.2012.0011 vom 16. April 2012</w:t>
      </w:r>
    </w:p>
    <w:p>
      <w:r>
        <w:t>VD Tribunal cantonal, 2012-04-16, FR</w:t>
      </w:r>
    </w:p>
    <w:p>
      <w:r>
        <w:rPr>
          <w:b/>
        </w:rPr>
        <w:t xml:space="preserve">Quelle: </w:t>
      </w:r>
      <w:r>
        <w:t>https://mcp.opencaselaw.ch/entscheid/vd_omni_CR.2012.0011</w:t>
      </w:r>
    </w:p>
    <w:p>
      <w:r>
        <w:t>FR: VD_OMNI CR.2012.0011 du 16 avril 2012</w:t>
      </w:r>
    </w:p>
    <w:p>
      <w:r>
        <w:t>IT: VD_OMNI CR.2012.0011 del 16 aprile 2012</w:t>
      </w:r>
    </w:p>
    <w:p>
      <w:pPr>
        <w:pStyle w:val="Heading2"/>
      </w:pPr>
      <w:r>
        <w:t>Regeste</w:t>
      </w:r>
    </w:p>
    <w:p>
      <w:r>
        <w:t>X.________ c/Service des automobiles et de la navigation | Retrait du permis de conduire en raison d'une dérobade à la prise de sang. Sur le plan pénal, l'art. 91a LCR punissant le conducteur qui se sera dérobé intentionnellement à un prélèvement de sang, est une infraction de résultat. S'il a tout de même été possible de déterminer de manière fiable, par une prise de sang ultérieure, l'alcoolémie du conducteur au moment déterminant, l'auteur ne doit être condamné que pour une tentative (délit manqué). Sur le plan administratif, le fait que le conducteur n'ait commis qu'une tentative de dérobade à la prise de sang ne permet pas d'écarter l'application de l'art. 16c al. 1 let. d LCR, selon lequel commet une infraction grave la personne qui se dérobe intentionnellement à un prélèvement de sang. La question de savoir si la non réalisation du résultat de l'infraction pénale pourrait entraîner une réduction de la durée du retrait de permis est laissée indécise en l'espèce, la recourante ayant été sanctionnée du minimum légal, qui ne peut être réduit.</w:t>
      </w:r>
    </w:p>
    <w:p>
      <w:pPr>
        <w:pStyle w:val="Heading2"/>
      </w:pPr>
      <w:r>
        <w:t>Erwägungen</w:t>
      </w:r>
    </w:p>
    <w:p>
      <w:r>
        <w:rPr>
          <w:b/>
        </w:rPr>
        <w:t>E. 1</w:t>
      </w:r>
    </w:p>
    <w:p>
      <w:r>
        <w:t>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b) En l'espèce, par ordonnance du 2 décembre 2010, le juge d'instruction a condamné la recourante pour violation simple des règles de la circulation (art. 91 al. 1 de la loi fédérale du 19 décembre 1958 sur la circulation routière; LCR; RS 741.01), conduite en état d'ébriété (art. 91 al. 1 LCR), opposition ou dérobade aux mesures visant à déterminer l'incapacité de conduire (art. 91a al. 1 LCR) et violation des devoirs en cas d'accident (art. 92 ch. 1 LCR). La recourante a renoncé à s'opposer à cette ordonnance, alors qu'elle avait été dûment informée par le SAN le 11 octobre 2010 qu'une procédure administrative était ouverte à son encontre et que, pour prononcer sa décision, l'autorité administrative retiendrait l'état de fait établi par l'autorité pénale, de sorte qu'il appartenait à l'intéressée de faire valoir tous ses arguments directement auprès de l'autorité pénale. Par ailleurs, la recourante n'invoque aucun fait qu'elle n'aurait pas porté à la connaissance du juge pénal et il n'existe pas davantage de preuve nouvelle. Dans ces conditions, il n'y a pas de motif de s'écarter des faits établis sur le plan pénal (cf. consid. 3a infra).</w:t>
      </w:r>
    </w:p>
    <w:p>
      <w:r>
        <w:rPr>
          <w:b/>
        </w:rPr>
        <w:t>E. 2</w:t>
      </w:r>
    </w:p>
    <w:p>
      <w:r>
        <w:t>a)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L'art. 91a LCR réprime, au titre de comportement punissable, l'opposition à la prise de sang, la dérobade et la mise en échec de la constatation (v. Bernard Corboz, Les infractions en droit suisse, vol. II, 2010, n. 1 ss ad art. 91a LCR). b) La jurisprudence rappelle que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L'art.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 Par accident, il faut entendre tout événement dommageable de nature à causer des lésions corporelles à une personne ou une atteinte à une chose (ATF 122 IV 356 consid. 3a; 83 IV 46 consid. 1). Il y a accident lorsque des véhicules entrent en collision, lorsqu'un véhicule heurte une personne, un animal ou une chose ou encore lorsqu'un véhicule se renverse ou sort involontairement des limites de la chaussée et "part dans le décor".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(Corboz, op. cit., n. 3 ad art. 92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les antécédents routiers d'un conducteur.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(ATF 6S.435/2001 du 8 août 2001 consid. 2e). c) L'art. 91a LCR réprime une infraction de résultat: elle n'est consommée que si l'auteur a réussi à empêcher la constatation de son état par les mesures spécifiques.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 ATF 115 IV 51 consid.</w:t>
      </w:r>
    </w:p>
    <w:p>
      <w:r>
        <w:rPr>
          <w:b/>
        </w:rPr>
        <w:t>E. 5</w:t>
      </w:r>
    </w:p>
    <w:p>
      <w:r>
        <w:t>Les considérants qui précèdent conduisent au rejet du recours aux frais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