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CR.2011.0078 vom 9. Juli 2012</w:t>
      </w:r>
    </w:p>
    <w:p>
      <w:r>
        <w:t>VD Tribunal cantonal, 2012-07-09, FR</w:t>
      </w:r>
    </w:p>
    <w:p>
      <w:r>
        <w:rPr>
          <w:b/>
        </w:rPr>
        <w:t xml:space="preserve">Quelle: </w:t>
      </w:r>
      <w:r>
        <w:t>https://mcp.opencaselaw.ch/entscheid/vd_omni_CR.2011.0078</w:t>
      </w:r>
    </w:p>
    <w:p>
      <w:r>
        <w:t>FR: VD_OMNI CR.2011.0078 du 9 juillet 2012</w:t>
      </w:r>
    </w:p>
    <w:p>
      <w:r>
        <w:t>IT: VD_OMNI CR.2011.0078 del 9 luglio 2012</w:t>
      </w:r>
    </w:p>
    <w:p>
      <w:pPr>
        <w:pStyle w:val="Heading2"/>
      </w:pPr>
      <w:r>
        <w:t>Regeste</w:t>
      </w:r>
    </w:p>
    <w:p>
      <w:r>
        <w:t>X.________ c/Service des automobiles et de la navigation | Retrait de sécurité confirmé. Le recourant n'a pas respecté la stricte abstinence à laquelle était subordonné le maintien de son droit de conduire. Quant aux conditions assortissant la restitution du droit de conduire, elles sont proportionnées et appropriées.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prévoit par ailleurs que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Compte tenu du principe énoncé par l'art. 16 al. 1 LCR, un retrait de sécurité doit être ordonné dans tous les cas où il est établi que les conditions d'octroi du permis de conduire ne sont plus réunies. Aussi l'énumération de l'art. 16d al. 1 LCR ne constitue pas un catalogue exhaustif. Il n'en allait pas différemment sous l'ancien droit et la novelle du 14 décembre 2001 n'avait pas pour but de restreindre le champ d'application du retrait de sécurité (arrêt 6A.44/2006 du 4 septembre 2006 consid. 2; René Schaffhauser, Grundriss des schweizerischen Strassenverkehrsrechts, vol. III, Berne 1995, p. 69 et 101 et Die neuen Administrativmassnahmen des Strassenverkehrsrechts, Jahrbuch zum Strassenverkehrsrechts 2003, p. 217 s.). Ce qui importe, en revanche, c'est que la décision de retrait de sécurité du permis de conduire, qui constitue une atteinte grave à la sphère privée de l'intéressé, repose sur une instruction précise des circonstances déterminantes (arrêt 6A.44/2006 précité). b) En l'espèce, le SAN, par décision du 23 février 2011 (entrée en force faute de recours), a confirmé l'aptitude à la conduite des véhicules du 3 ème groupe du recourant; il a toutefois subordonné le maintien du droit de conduire à différentes conditions, dont une stricte abstinence pendant au moins trois moins, l'abstinence devant être poursuivie sans interruption jusqu'à décision de l'autorité. Le recourant n'a pas respecté cette stricte abstinence, comme le montrent ses contrôles sanguins du mois d'août 2011. Il ne le conteste pas. Conformément à l'art. 16 al. 1 LCR, son permis de conduire doit dès lors être retiré pour une durée indéterminée, puisqu'il n'a pas respecté une des conditions auxquelles était subordonné le maintien du droit de conduire. Le recourant fait ainsi valoir en vain qu'il ne souffrirait pas d'une dépendance à l'alcool. Quant aux conditions assortissant la restitution du droit de conduire, elles apparaissent proportionnées et appropriées. En effet, selon une jurisprudence constante, en cas d'inaptitude à conduire pour un motif alcoologique, une restitution conditionnelle à la suite d’un retrait de sécurité n’est possible qu’après l’observation d’une abstinence de toute consommation d’alcool – en général d'une année (ATF 127 II 122 consid. 3b; ATF 126 II 185; ATF 126 II 361; ATF 120 Ib 305; ATF 6A.34/2002) –, seul moyen permettant à l'intéressé de démontrer qu'il est parvenu à surmonter durablement son inaptitude en ayant cessé toute consommation d'alcool sur une longue période (arrêts CR.2008.0216 du 9 janvier 2009; CR.2007.0041 du 31 août 2007; CR.2006.0227 du 27 février 2007; CR.2005.0435 du 30 mars 2006; CR.2004.0251 du 24 novembre 2004).</w:t>
      </w:r>
    </w:p>
    <w:p>
      <w:r>
        <w:rPr>
          <w:b/>
        </w:rPr>
        <w:t>E. 3</w:t>
      </w:r>
    </w:p>
    <w:p>
      <w:r>
        <w:t>Les motifs qui précèdent conduisent au rejet du recours et à la confirmation de la décision attaquée. Le recourant, qui succombe, supportera les frais de justice (art. 49 al. 1 LPA-VD). Il n'aura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