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CR.2011.0077 vom 30. März 2012</w:t>
      </w:r>
    </w:p>
    <w:p>
      <w:r>
        <w:t>VD Tribunal cantonal, 2012-03-30, FR</w:t>
      </w:r>
    </w:p>
    <w:p>
      <w:r>
        <w:rPr>
          <w:b/>
        </w:rPr>
        <w:t xml:space="preserve">Quelle: </w:t>
      </w:r>
      <w:r>
        <w:t>https://mcp.opencaselaw.ch/entscheid/vd_omni_CR.2011.0077</w:t>
      </w:r>
    </w:p>
    <w:p>
      <w:r>
        <w:t>FR: VD_OMNI CR.2011.0077 du 30 mars 2012</w:t>
      </w:r>
    </w:p>
    <w:p>
      <w:r>
        <w:t>IT: VD_OMNI CR.2011.0077 del 30 marzo 2012</w:t>
      </w:r>
    </w:p>
    <w:p>
      <w:pPr>
        <w:pStyle w:val="Heading2"/>
      </w:pPr>
      <w:r>
        <w:t>Regeste</w:t>
      </w:r>
    </w:p>
    <w:p>
      <w:r>
        <w:t>X.________ c/Service des automobiles et de la navigation | Commet une infraction grave la conductrice qui allume une cigarette alors qu'elle circule à l'intérieur d'une localité en abordant une courbe à droite et qui perd la maîtrise de son véhicule, lequel dévie de sa trajectoire et vient percuter l'automobile roulant normalement en sens inverse.</w:t>
      </w:r>
    </w:p>
    <w:p>
      <w:pPr>
        <w:pStyle w:val="Heading2"/>
      </w:pPr>
      <w:r>
        <w:t>Erwägungen</w:t>
      </w:r>
    </w:p>
    <w:p>
      <w:r>
        <w:rPr>
          <w:b/>
        </w:rPr>
        <w:t>E. 1</w:t>
      </w:r>
    </w:p>
    <w:p>
      <w:r>
        <w:t>La recourante ne conteste pas avoir enfreint l'art. 31 al. 1 de la loi fédérale du 19 décembre 1958 sur la circulation routière (LCR; RS 741.01), qui dispose que le conducteur devra rester constamment maître de son véhicule de façon à pouvoir se conformer aux devoirs de la prudence, ainsi que l’art. 3 al. 1 de l'ordonnance fédérale du 13 novembre 1962 sur les règles de la circulation routière (OCR; RS 741.11) prévoit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Elle soutient en revanche que l'infraction commise doit être qualifiée de moyennement grave et non de grave comme l'a retenu l'autorité intimée.</w:t>
      </w:r>
    </w:p>
    <w:p>
      <w:r>
        <w:rPr>
          <w:b/>
        </w:rPr>
        <w:t>E. 2</w:t>
      </w:r>
    </w:p>
    <w:p>
      <w:r>
        <w:t>La recourante rappelle que le prononcé pénal a retenu une violation simple des règles de la circulation (art. 90 al. 1 LCR) et plaide que l'autorité intimée ne saurait avoir une appréciation juridique d'un même état de fait si différente qu'elle conclue à l'existence d'une faute grave. Selon la jurisprudence fédérale (arrêt 1C_585/2008 du 14 mai 2009 consid. 3.1 par exemple),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s.; 123 II 97 consid. 3c/aa p. 100; 121 II 214  consid. 3a p. 217 et les arrêts cités). Si les faits retenus au pénal lient donc en principe l'autorité et le juge administratifs, il en va différemment des questions de droit, en particulier de l'appréciation de la faute (arrêt 1C_71/2008 du 31 mars 2008 consid. 2.1) et de la mise en danger. En définitive, la qualification pénale de violation simple des règles de la circulation au sens de l'art. 90 al. 1 LCR n'exclut pas de retenir au plan administratif une faute grave au sens de l'art. 16c al. 1 let. a LCR dont il sera question plus loin (arrêt 1C_282/2011 du 27 septembre 2011 consid. 2.4 et les réf. citées). En l'espèce, le prononcé pénal a été rendu à l'issue d'une procédure simplifiée où la recourante n'a pas été entendue, sur la base du rapport de gendarmerie. Le juge pénal n'a donc pas eu une connaissance plus approfondie des circonstances du cas que l'autorité administrative. L'appréciation juridique ne dépend donc pas étroitement de faits que le juge pénal connaîtrait mieux que l'autorité intimée. Par conséquent, cette dernière était libre de procéder à sa propre appréciation juridique des faits pertinents, tels qu'ils résultent du dossier, sans être liée par le jugement pénal. Reste à examiner si, sur la base des éléments en sa possession, l'autorité intimée était légitimée à considérer comme grave l'infraction commise par la recourante.</w:t>
      </w:r>
    </w:p>
    <w:p>
      <w:r>
        <w:rPr>
          <w:b/>
        </w:rPr>
        <w:t>E. 3</w:t>
      </w:r>
    </w:p>
    <w:p>
      <w:r>
        <w:t>La loi fait la distinction entre le cas de très peu de gravité, le cas de peu de gravité, le cas de gravité moyenne et le cas grave. a)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pour un mois au minimum (art. 16b al. 2 let. a LCR). c)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FF 1999 IV 4132 et 4134; René Schaffhauser, Die neuen Administrativmassnahmen des Strassenverkehrsgesetzes,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 b)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et les réf. citées). Est considéré comme grave le fait, pour un conducteur, de prendre une bouteille d'eau qui avait glissé entre le siège passager et la portière (ATF 1C_188/2010 du 6 septembre 2010 annulant l'arrêt CR.2009.0086 du 18 mars 2010), de se pencher pour ramasser un document qui se trouvait dans son sac à main, sur le sol côté passager (ATF 1C_71/2008 du 31 mars 2008 annulant l'arrêt CR.2007.0319 du 28 janvier 2008), de changer un CD (arrêt CR.2009.0061 du 12 mars 2010), de se baisser pour ramasser un téléphone portable tombé à ses pieds (ATF 1C_299/2007 du 11 janvier 2008; arrêt CR.2007.0103 du 20 août 2007), de porter le regard sur l'autoradio (arrêt CR.2009.0043 du 30 septembre 2009), de chercher un CD dans la boîte à gants (arrêt CR.2007.0134 du 4 août 2008), de manipuler l’autoradio et de régler la climatisation (arrêt CR.2006.0483 du 17 avril 2007), ces activités impliquant que l'attention du conducteur soit détournée de la route. La décision attaquée retient que la recourante a allumé une cigarette alors qu'elle circulait au volant de son véhicule à l'intérieur d'une localité et qu'elle abordait une courbe à droite, circonstances qui exigeaient d'elle une attention accrue. L'autorité intimée a considéré que la recourante avait pris le risque de détourner son attention de la route pour effectuer une activité qui ne constituait pas un cas d'urgence requérant une intervention rapide de sa part et qu'elle avait donc délibérément effectué une occupation accessoire incompatible avec la conduite automobile dont le caractère manifestement dangereux ne pouvait lui échapper de sorte qu'il y avait à tout le moins une négligence grossière. Enfin, l'autorité a retenu que, par son inattention, la recourante avait perdu la maîtrise de son véhicule, qui est entré en collision avec un véhicule circulant normalement en sens inverse et que la sécurité du trafic avait été gravement compromise, même si fort heureusement seuls des dégâts matériels avaient été occasionnés. La recourante plaide que son inattention est survenue après le fait d'avoir allumé sa cigarette, de sorte que le motif exact de l'inattention demeure inconnu. L'autorité intimée aurait dû selon elle prendre en compte ce doute dans le cadre de son appréciation du cas. S'agissant de la mise en danger, elle devrait être relativisée dans le cas d'espèce eu égard au fait que la vitesse du véhicule était très faible (25 km/h). Par ailleurs, suivant les photos au dossier, le point d'impact se situe exclusivement à l'angle avant gauche des véhicules impliqués, de sorte que l'on peut en conclure que la recourante n'a dévié que légèrement de sa trajectoire. En l'espèce, tout de suite après les faits, la recourante a déclaré à la gendarmerie : "sur la rue du Poyet, peu après le parc à droite dans une courbe à droite, j'ai allumé une cigarette. A ce moment suite à une inattention, je me suis déportée sur ma gauche" . De cette déclaration, il résulte que l'inattention est simultanée au fait d'allumer une cigarette. C'est en vain que la recourante le conteste. Le geste de la recourante impliquait qu'elle détourne son regard de la route, avec le risque que son véhicule puisse dévier de sa trajectoire. Or, la recourante se trouvait alors dans une courbe, ce qui impliquait une attention accrue de sa part. Elle circulait également à l'intérieur d'une localité. La recourante a créé un risque pour la sécurité du trafic, qui s'est concrétisé par une collision. La recourante a reconnu qu'elle n'avait pas eu le temps de donner un coup de volant pour éviter le véhicule qui venait en sens inverse et qui circulait normalement. Dans ces conditions, c'est à juste titre que l'autorité intimée s'est écartée du prononcé pénal pour retenir une faute grave, considérant que la recourante avait adopté un comportement dont le caractère dangereux ne pouvait pas lui échapper et qu'il fallait, à tout lui moins lui reprocher une négligence grossière. En laissant dévier son véhicule sur la voie opposée de circulation, provoquant ainsi une collision, la recourante a concrètement et sérieusement mis en danger la sécurité routière, même si elle n'a causé fort heureusement que des dommages matériels légers. Quoique légers, les dégâts matériels occasionnés par l'accident et limités à l'avant gauche des véhicules ne sont pas négligeables au point que l'on puisse conclure à une simple "touchette". La recourante circulait certes à vitesse réduite. Or, elle circulait non seulement à l'intérieur d'une localité, où la vitesse est limitée, mais aussi dans une courbe, ce qui nécessitait de toute façon de ralentir. La mise en danger créée par le comportement de la recourante ne saurait en conséquence être qualifiée de légère ou de moyennement grave. Au regard des éléments qui précèdent, la double condition de la gravité de la faute et de la mise en danger étant réalisée, c'est à juste titre que l'autorité intimée a qualifié l'infraction commise de grave et s'est écartée du prononcé pénal.</w:t>
      </w:r>
    </w:p>
    <w:p>
      <w:r>
        <w:rPr>
          <w:b/>
        </w:rPr>
        <w:t>E. 4</w:t>
      </w:r>
    </w:p>
    <w:p>
      <w:r>
        <w:t>La durée du retrait, de trois mois, correspond au minimum légal, seuil en-dessous duquel il est impossible d'aller (art. 16 al. 3 LCR).</w:t>
      </w:r>
    </w:p>
    <w:p>
      <w:r>
        <w:rPr>
          <w:b/>
        </w:rPr>
        <w:t>E. 5</w:t>
      </w:r>
    </w:p>
    <w:p>
      <w:r>
        <w:t>Les considérants qui précèdent conduisent au rejet du recours et à la confirmation de la décison attaquée. La recourante, qui succombe, supportera les frais de justice.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