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CR.2011.0046 vom 25. Oktober 2011</w:t>
      </w:r>
    </w:p>
    <w:p>
      <w:r>
        <w:t>VD Tribunal cantonal, 2011-10-25, FR</w:t>
      </w:r>
    </w:p>
    <w:p>
      <w:r>
        <w:rPr>
          <w:b/>
        </w:rPr>
        <w:t xml:space="preserve">Quelle: </w:t>
      </w:r>
      <w:r>
        <w:t>https://mcp.opencaselaw.ch/entscheid/vd_omni_CR.2011.0046</w:t>
      </w:r>
    </w:p>
    <w:p>
      <w:r>
        <w:t>FR: VD_OMNI CR.2011.0046 du 25 octobre 2011</w:t>
      </w:r>
    </w:p>
    <w:p>
      <w:r>
        <w:t>IT: VD_OMNI CR.2011.0046 del 25 ottobre 2011</w:t>
      </w:r>
    </w:p>
    <w:p>
      <w:pPr>
        <w:pStyle w:val="Heading2"/>
      </w:pPr>
      <w:r>
        <w:t>Regeste</w:t>
      </w:r>
    </w:p>
    <w:p>
      <w:r>
        <w:t>X.________ c/Service des automobiles et de la navigation | Décision de retrait de permis de conduire à titre préventif et de mise en oeuvre d'une expertise médicale suite au constat de la présence dans le sang du conducteur d'alcool, de tranxilium et d'amphétamines. Vu l'ensemble des circonstances et la version crédible des faits tels que relatés par le recourant, dont il ressort notamment qu'il aurait ingéré des amphétamines de façon inconsciente, il n'y a aucun indice concret de dépendance à l'alcool ou aux stupéfiants. La décision est annulée en tant qu'elle ordonne le retrait de permis à titre préventif et maintenue s'agissant de l'expertise médicale.</w:t>
      </w:r>
    </w:p>
    <w:p>
      <w:pPr>
        <w:pStyle w:val="Heading2"/>
      </w:pPr>
      <w:r>
        <w:t>Erwägungen</w:t>
      </w:r>
    </w:p>
    <w:p>
      <w:r>
        <w:rPr>
          <w:b/>
        </w:rPr>
        <w:t>E. 1</w:t>
      </w:r>
    </w:p>
    <w:p>
      <w:r>
        <w:t>Selon l’art. 16d de la loi fédérale du 19 décembre 1958 sur la circulation routière (LCR; RS 741.01),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L'art. 23 al. 1 in fine LCR prévoit qu'en règle générale, l'autorité entendra l'intéressé avant de lui retirer son permis de conduire ou de le soumettre à une interdiction de circuler. Toutefois, selon l’art. 30 de l'ordonnance du 27 octobre 1976 réglant l’admission des personnes et des véhicules à la circulation routière (OAC; RS 741.51), le permis de conduire peut être retiré à titre préventif lorsqu’il existe des doutes sérieux quant à l’aptitude à conduire de l’intéressé. Cet article a remplacé l’ancien art. 35 al. 3 OAC qui prévoyait que le permis de conduire pouvait être retiré immédiatement à titre préventif jusqu’à ce que les motifs d’exclusion aient été élucidés. Ce nouvel article garde néanmoins la même portée que l’ancien et ne fait que reprendre la définition du retrait préventif posée par la jurisprudence.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ATF 122 II 359). L’art. 30 OAC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Mais, comme l'intéressé ne peut pas être privé durablement de son permis si la preuve de son inaptitude n'est pas faite (art. 16 al. 1 et 16d LCR, a contrario), le retrait prévu doit s'inscrire dans une procédure de retrait de sécurité (cf. ATF 125 II 396 consid.</w:t>
      </w:r>
    </w:p>
    <w:p>
      <w:r>
        <w:rPr>
          <w:b/>
        </w:rPr>
        <w:t>E. 3</w:t>
      </w:r>
    </w:p>
    <w:p>
      <w:r>
        <w:t>Vu ce qui précède, le recours doit être admis partiellement, en ce sens que la décision est annulée en tant qu’elle ordonne le retrait préventif du permis de conduire du recourant et est maintenue pour ce qui concerne l’expertise médicale. Le recourant, qui a obtenu partiellement gain de cause et est représenté par un mandataire,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