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CR.2011.0025 vom 2. August 2011</w:t>
      </w:r>
    </w:p>
    <w:p>
      <w:r>
        <w:t>VD Tribunal cantonal, 2011-08-02, FR</w:t>
      </w:r>
    </w:p>
    <w:p>
      <w:r>
        <w:rPr>
          <w:b/>
        </w:rPr>
        <w:t xml:space="preserve">Quelle: </w:t>
      </w:r>
      <w:r>
        <w:t>https://mcp.opencaselaw.ch/entscheid/vd_omni_CR.2011.0025</w:t>
      </w:r>
    </w:p>
    <w:p>
      <w:r>
        <w:t>FR: VD_OMNI CR.2011.0025 du 2 août 2011</w:t>
      </w:r>
    </w:p>
    <w:p>
      <w:r>
        <w:t>IT: VD_OMNI CR.2011.0025 del 2 agosto 2011</w:t>
      </w:r>
    </w:p>
    <w:p>
      <w:pPr>
        <w:pStyle w:val="Heading2"/>
      </w:pPr>
      <w:r>
        <w:t>Regeste</w:t>
      </w:r>
    </w:p>
    <w:p>
      <w:r>
        <w:t>X._________ c/Service des automobiles et de la navigation | Cas d'un conducteur qui a perdu la maîtrise de son véhicule lors d'une manoeuvre de dépassement sur une autoroute en travaux. Le cumul de l'amende et du retrait d'admonestation du permis de conduire tel que prévu par la LCR ne viole pas l'interdiction de la double poursuite (confirmation de jurisprudence). Confirmation du retrait de permis au motif que la mise en danger doit au moins être qualifiée de moyennement grave et que la faute commise est à tout le moins légère. Confirmation également de la durée de quatre mois dudit retrait dès lors que le délai de récidive prévu à l'art. 16b al. 2 let. b LCR est compté à partir du jour où la précédente mesure de retrait a pris fin et échoit le jour de la commission de la nouvelle infraction.</w:t>
      </w:r>
    </w:p>
    <w:p>
      <w:pPr>
        <w:pStyle w:val="Heading2"/>
      </w:pPr>
      <w:r>
        <w:t>Erwägungen</w:t>
      </w:r>
    </w:p>
    <w:p>
      <w:r>
        <w:rPr>
          <w:b/>
        </w:rPr>
        <w:t>E. 1</w:t>
      </w:r>
    </w:p>
    <w:p>
      <w:r>
        <w:t>En premier lieu, X.________ se prévaut du droit à ne pas être jugé ou puni deux fois (principe "ne bis in idem"), ancré à l’art. 4 du Protocole n°7 à la Convention européenne de sauvegarde des droits de l’homme (CEDH; RS 0.101.07), tel qu’interprété par la Cour européenne des droits de l’homme dans l’arrêt rendu le 10 février 2009 dans la cause Sergueï Zolotoukhine c. Russie (req. n°14939/03). a) Nul ne peut être poursuivi ou puni pénalement à raison de faits pour lesquels il a déjà été acquitté ou condamné par un jugement définitif. Ce droit, exprimé par l’adage «ne bis in idem», est garanti par l’art. 4 du Protocole n° 7 à la CEDH, conclu à Strasbourg le 22 novembre 1984, et entré en vigueur pour la Suisse le 1 er novembre 1988, ainsi que par l’art. 14 par. 7 du Pacte international relatif aux droits civils et politiques, conclu à New York le 16 décembre 1966 et entré en vigueur pour la Suisse le 18 septembre 1992 (Pacte ONU II; RS 0. 103.2). La règle "ne bis in idem"découle en outre implicitement de la Constitution fédérale (ATF 128 II 355 consid. 5.1 p. 367; cf. également ATF 125 II 402 consid. 1b p. 404; 122 I 257 consid. 3 p. 259/260; 119 Ib 311 consid. 3a p. 318, et les arrêts cités). Sous la note marginale "Interdiction de la double poursuite", l’art. 11 al. 1 du Code de procédure pénale suisse, du</w:t>
      </w:r>
    </w:p>
    <w:p>
      <w:r>
        <w:rPr>
          <w:b/>
        </w:rPr>
        <w:t>E. 5</w:t>
      </w:r>
    </w:p>
    <w:p>
      <w:r>
        <w:t>octobre 2007, entré en vigueur le 1 er janvier 2011 (CPP; RS 312.0), prévoit également qu’aucune personne condamnée ou acquittée en Suisse par un jugement entré en force ne peut être poursuivie une nouvelle fois pour la même infraction. Selon le Tribunal fédéral, le fait que, dans une procédure administrative, une mesure de retrait du permis de conduire soit prononcée, en application de l’art. 16 LCR, sur la base du même état de fait sur lequel repose la condamnation pénale prononcée au regard de l’art. 90 LCR, ne viole pas la règle "ne bis in idem", dès lors que le juge pénal n’est pas habilité à ordonner le retrait du permis de conduire, mesure qui incombe à l’autorité administrative, soumise au contrôle du juge administratif. Seul le concours des deux procédures permet d’examiner les faits pertinents dans leur totalité et de décider en tenant compte de tous les éléments de droit  (ATF 125 II 402; cf. également ATF 1C_495/2008 du 28 octobre 2008). Le Tribunal administratif, puis le Tribunal cantonal, se sont conformés à cette jurisprudence (arrêts CR.2010.0031 du 18 août 2010, consid. 2; CR.2010.0010 du 4 mai 2010, consid. 1; CR.2008.0134 du 23 septembre 2008 consid. 2; CR.2001.0052 du 10 avril 2001; CR.1995.0017 du 15 mai 1995, consid. 1c). La Cour européenne des droits de l’homme a également considéré que le retrait de permis de conduire ordonné par une autorité administrative, consécutivement à une condamnation pénale à raison des mêmes faits, n’emporte pas une violation de l’art. 4 du Protocole n° 7, lorsque la mesure administrative découle de manière directe et prévisible de la condamnation, dont elle ne constitue que la conséquence (décision Nilsson c. Suède du 13 décembre 2005, Recueil 2005-XIII p. 333ss). b) La question de savoir si l’arrêt de la Cour européenne des droits de l’homme dans l’affaire Zolotoukhine implique de modifier la jurisprudence précitée a été examinée par le tribunal cantonal dans la cause CR.2010.0071 dans le cadre d’une procédure de coordination régie par l’art. 34 du règlement organique du Tribunal cantonal (ROTC, RSV 173.31.1). A cette occasion le tribunal cantonal a notamment constaté que l’arrêt Zolotoukhine ne portait pas sur le cumul d’une amende et d’un retrait du permis de conduire. Il était en outre difficile de discerner si, en rendant cet arrêt, la Cour européenne des droits de l’homme avait entendu remettre en cause la décision topique Nilsson c. Suède, précitée, au regard de laquelle ce cumul n’emporte pas de violation de la règle "ne bis in idem". Le tribunal cantonal a par conséquent considéré que l’arrêt Zolotoukhine ne justifiait pas une modification de la jurisprudence relative au principe "ne bis in idem" en ce qui concerne les retraits de permis de conduire prononcé par les autorités administratives. c) Il n’y a pas lieu de revenir sur cette jurisprudence dans le cas d’espèce. Partant le grief relatif au principe "ne bis in idem" doit être écarté. 2. La LCR sanctionne administrativement les violations des règles de la circulation routière des conducteurs automobiles aux articles 16 à 16d. Elle fait la distinction entre les infractions de très peu de gravité, de peu de gravité, de gravité moyenne et les infractions graves.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 si, au cours des deux années précédentes, le permis a été retiré une fois en raison d’une infraction grave ou moyennement grave, il sera toutefois retiré pour quatre mois au minimum (art. 16b al. 2 let. b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moyennement grave et d’une faute légère, moyennement grave ou grave (Mizel, op. cit. p. 392; ATF 6A.16/2006 du 6 avril 2006). Il y a en effet infraction légère pouvant donner lieu à un avertissement que lorsque le conducteur a mis légèrement en danger la sécurité des autres usagers et que sa faute est bénigne, ces deux conditions étant cumulatives (ATF 135 II 138). 3.                Dans le cas d’espèce, le SAN a constaté une perte de maîtrise du véhicule du recourant en retenant que la mise en danger de la sécurité du trafic entraînée par cette perte de maîtrise ne pouvait être qualifiée de légère au vu des dégâts constatés. Il en a déduit que X.________ avait commis une infraction moyennement grave au sens de l’art. 16b LCR (cf. décision du 14 décembre 2010, p. 2, « observations », décision sur réclamation du 13 avril 2011, p. 2, §3 et 13). Pour ce qui est des explications fournies par le recourant pour justifier la perte de maîtrise, l’autorité intimée a relevé que le fait de percuter un objet métallique sur la chaussée n’était pas extraordinaire sur un tronçon de chantier. En retenant une mise en danger moyennement grave, le SAN a laissé ouverte la question du degré de la faute. Le recourant soutient pour sa part que tant la mise en danger que la faute doivent être qualifiées de légères. A cet égard, il relève que les dégâts sont minimes et purement matériels, qu’il a pu rabattre son véhicule sans heurter le véhicule qu’il était en train de dépasser et que sa seule faute a été d’avoir roulé sur une pièce métallique. Selon lui, le réflexe de freiner pour limiter toutes autres formes d’accident suite au bruit provoqué par cette dernière était pleinement justifié. a) L’art. 31 al. 1 LCR prescrit que le conducteur devra rester constamment maître de son véhicule de façon à pouvoir se conformer aux devoirs de la prudence. La notion de maîtrise du véhicule signifie que le conducteur doit être à tout moment en mesure d’actionner rapidement les commandes de son véhicule en mouvement, de façon à manœuvrer immédiatement d’une manière appropriée aux circonstances en présence d’un danger quelconque (Bussy &amp; Rusconi, Code suisse de la circulation routière, commentaire, 3 ème éd., Lausanne 1996, art. 31, ch. 2 et les références citées). La maîtrise du véhicule comprend la maîtrise de la direction, selon laquelle tout conducteur doit "tenir sa voie" et être en mesure d’éviter un obstacle apparaissant devant lui par une manœuvre adéquate que l’on peut attendre de tout conducteur attentif placé dans les mêmes conditions; ainsi, un freinage brusque entraînant un dérapage constitue une faute dès lors que le danger aurait pu être évité par un freinage normal (Bussy &amp; Rusconi, op. cit., art. 31, ch. 2.5 et les références citées). En l’ocurence, il n’est pas contesté que le recourant a perdu la maîtrise de son véhicule. La question de la gravité de l’infraction dépend au surplus essentiellement de la qualification de la mise en danger résultant de cette perte de maîtrise, question qu’il convient d’examiner ci-après. b) aa)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 - La mise en danger (abstraite accrue) particulièrement légère qui équivaut à la mise en danger induite par les infractions sanctionnées par les amendes d’ordre. En matière de perte de maîtrise, un tel niveau de mise en danger n’est donné que très exceptionnellement, par exemple en cas de "touchette" à vitesse très faible sur un parking, ou alors en cas de choc de rétroviseurs (Mizel, op. cit., p. 365). - La mise en danger (abstraite accrue) légère qui représente une mise en danger légèrement supérieure à celle induite par les infractions sanctionnées par les amendes d’ordre (Mizel, op. cit., p. 365). - La mise en danger (abstraite accrue) moyennement grave qui est une mise en danger inférieure à la mise en danger concrète (accident) et à la mise en danger abstraite accrue grave. Elle est donnée lorsque l’on se trouve dans une situation relativement proche de l’accident, ce qui est interprété assez restrictivement par le Tribunal fédéral. Concernant les pertes de maîtrise, il arrive que certaines d’entre elles - sans collision avec un autre véhicule - ne causent, suivant les circonstances, qu’une mise en danger moyennement grave, voire même éventuellement légère, due au faible risque inhérent de mettre un tiers en danger (Mizel, op. cit., p. 366-377). - La mise en danger (abstraite accrue) grave qui  a pour critères déterminants l’imminence et l’intensité du risque; il correspond à un risque très élevé d’accident du fait du comportement d’un conducteur au vu des circonstances particulières concrètes, telles que la densité du trafic, la visibilité, les conditions atmosphériques, la configuration des lieux, etc. (Mizel, op. cit., p. 367-368). - La mise en danger concrète représente pour sa part un risque élevé de blessures pour une personne concrète. Elle consiste généralement en une collision avec un autre véhicule. A l’égard d’un passager du propre véhicule de l’auteur, qui constitue une personne protégée par les art. 16a à 16n LCR et 90 ch. 2 LCR, une simple perte de maîtrise avec collision d’un obstacle suffit à réaliser une mise en danger concrète. Il y a ainsi mise en danger concrète lors du transport d’un passager à chaque fois qu’il y a perte de maîtrise "simple" et collision d’un obstacle, quand bien même aucun autre véhicule n’est impliqué dans l’accident et que les autres paramètres sont favorables (Mizel, op. cit., p. 369 et 371). bb) S’agissant de la mise en danger induite par l’infraction commise dans le cas d’espèce, on relève que seul l’avant gauche et le flanc du véhicule du recourant ont été touchés, que ni le recourant ni son passager n’ont subi de blessures et qu’aucun autre véhicule n’a été impliqué dans l’accident. En outre, suite au choc avec la balise de chantier, le recourant a retrouvé la maîtrise de son véhicule qu’il a pu arrêter sur la bande d’arrêt d’urgence; cela étant, il y a lieu de tenir compte du fait qu’il a heurté violemment une balise de chantier après avoir perdu dans un premier temps la maîtrise de son véhicule, qu’il avait un passager et qu’au moment du choc il était en train de dépasser un véhicule sur l’autoroute, de surcroît dans une zone de travaux où le tronçon était étroit. Au vu des dégats subis par le véhicule et du déclenchement des airbags, on relève que le choc a dû être relativement violent et que l’accident aurait par conséquent pu entraîner des blessures pour les occupants du véhicule. Le recourant ne saurait dès lors être suivi lorsqu’il soutient que la mise en danger doit être qualifiée de légère. c) Pour ce qui est de la faute commise, on peut admettre que de nuit, de surcroît lors d’une manœuvre de dépassement sur un tronçon en travaux, donc étroit, le recourant n’était pas à même d’éviter l’objet qui se trouvait sur la route, d’autant plus qu’il devait être peu volumineux dès lors qu’il n’a pas pu être retrouvé. Ce fait ne saurait ainsi en soi constituer une faute. En revanche, il apparaît que le recourant n’a pas effectué la manœuvre adéquate que l’on pouvait attendre de lui suite à cet évènement. En effet, le freinage brusque entrepris par le recourant et le fait que celui-ci n’ait pas été à même de maîtriser la trajectoire de son véhicule suite à cette manœuvre constitue bel et bien une perte de maîtrise fautive du véhicule au sens de l’art. 31 al. 1 LCR. On se trouve dès lors à tout le moins en présence d’une faute légère qui, combinée  à une mise en danger moyennement grave, justifie que l’on retienne une infraction moyennement grave au sens de l'art. 16b al. 1 let. a LCR. 4.                Le recourant conteste avoir commis une nouvelle infraction pendant le délai de récidive de deux ans de l'art. 16b al. 2 let. b LCR. A son sens, c'est la date à laquelle la précédente mesure a été ordonnée qui fixe le départ du délai de récidive - et non le moment auquel cette mesure a pris fin - et la date à laquelle le SAN s’est prononcé la seconde fois qui fixe l’échéance du délai - et non la date de commission de l’infraction. Le Tribunal fédéral s'est exprimé récemment sur cette problématique de la manière suivante (ATF 136 II 447 consid. 5.3) : "D'un point de vue technique, la récidive consiste à commettre une nouvelle infraction après avoir encouru antérieurement une condamnation définitive pour une autre infraction (cf. art. 67 aCP et 42 al. 2 CP). Ainsi, en droit de la circulation routière, un conducteur se trouve en état de récidive lorsqu'il commet un délit qui entraîne un retrait du permis obligatoire dans les deux ans - voire cinq ans - depuis la fin de l'exécution d'un précédent retrait (cf. art. 17 al. 1 let. c aLCR; arrêt 6A.29/1993 du 17 mai 1993, SJ 1993 p. 533, consid. 2b). Les dispositions actuelles relatives au retrait du permis, modifiées par la loi fédérale du 14 décembre 2001 et en vigueur depuis le 1er janvier 2005 (RO 2002 2767, 2004 2849), n'ont pas introduit de changement quant au point de départ du calcul du délai (cf. René Schaffhauser, Die neuen Administrativmassnahmen des Strassenverkehrsgesetzes, Jahrbuch zum Strassenverkehrsrecht 2003, p. 161 ss, n. 85 p. 206)." En l’espèce, contrairement à ce que soutient le recourant, c'est donc la date du 22 mai 2009, moment auquel la mesure de retrait du permis du recourant avait pris fin, qui est pertinente pour le calcul du départ du délai de récidive de l'art. 16b al. 2 let. b LCR. De même, c’est la date du 11 septembre 2010, jour de la commission de la nouvelle infraction, qui doit être prise en compte en tant qu’échéance du délai. Partant, le recourant a bel et bien récidivé moins de deux ans après la fin de la précédente mesure (ordonnée à la suite d'une infraction moyennement grave), de sorte que la nouvelle infraction commande le prononcé d'un retrait du permis de conduire d'une durée de quatre mois au minimum, en dépit du besoin professionnel établi par le recourant (art. 16b al. 2 let. b LCR). La décision querellée, qui arrête la quotité de la sanction au minimum légal, ne saurait dès lors être critiquée sur ce point. 5.                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