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CR.2011.0023 vom 22. September 2011</w:t>
      </w:r>
    </w:p>
    <w:p>
      <w:r>
        <w:t>VD Tribunal cantonal, 2011-09-22, FR</w:t>
      </w:r>
    </w:p>
    <w:p>
      <w:r>
        <w:rPr>
          <w:b/>
        </w:rPr>
        <w:t xml:space="preserve">Quelle: </w:t>
      </w:r>
      <w:r>
        <w:t>https://mcp.opencaselaw.ch/entscheid/vd_omni_CR.2011.0023</w:t>
      </w:r>
    </w:p>
    <w:p>
      <w:r>
        <w:t>FR: VD_OMNI CR.2011.0023 du 22 septembre 2011</w:t>
      </w:r>
    </w:p>
    <w:p>
      <w:r>
        <w:t>IT: VD_OMNI CR.2011.0023 del 22 settembre 2011</w:t>
      </w:r>
    </w:p>
    <w:p>
      <w:pPr>
        <w:pStyle w:val="Heading2"/>
      </w:pPr>
      <w:r>
        <w:t>Regeste</w:t>
      </w:r>
    </w:p>
    <w:p>
      <w:r>
        <w:t>X.___________ c/Service des automobiles et de la navigation | Recours contre le retrait préventif et l'expertise de l'UMPT ordonnés à l'encontre d'un chauffeur de taxi, âgé de 70 ans. Le recourant, qui soufre d'un diabète insulinorequérant, a été victime d'un infarctus du myocarde et d'une lésion tritronculaire. En outre, alors qu'il ne conduisait pas, il a été victime de deux épisodes d'éthylisme aigu (3,10 o/oo et 3,30 o/oo) ayant entraîné son admission aux urgences. Notion de dépendance à l'alcool au sens de la LCR. Conditions pour qu'une expertise de la médecine du trafic puisse servir de base de décision en matière de retrait de sécurité. Bien qu'il ne soit pas établi que le recourant ait consommé de l'alcool au volant, il prend des risques inconsidérés pour sa santé et peut subir à tout moment un malaise, y compris au volant.</w:t>
      </w:r>
    </w:p>
    <w:p>
      <w:pPr>
        <w:pStyle w:val="Heading2"/>
      </w:pPr>
      <w:r>
        <w:t>Erwägungen</w:t>
      </w:r>
    </w:p>
    <w:p>
      <w:r>
        <w:rPr>
          <w:b/>
        </w:rPr>
        <w:t>E. 1</w:t>
      </w:r>
    </w:p>
    <w:p>
      <w:r>
        <w:t>Selon la jurisprudence du Tribunal fédéral, la faculté de se prévaloir de l’art. 6 § 1 CEDH dans le cadre d’un retrait d’admonestation du permis de conduire doit être étendue au retrait de sécurité lorsque la possession du permis de conduire est directement nécessaire à l’exercice d’une profession ou, autrement dit, lorsqu’elle est inhérente à l’exercice de cette profession (ATF 122 II 464 consid. 3). Dans le cas présent, le recourant exerce le métier de chauffeur de taxi, de sorte qu’il a le droit d’obtenir que sa cause soit examinée par une autorité judiciaire lors de débats publics.</w:t>
      </w:r>
    </w:p>
    <w:p>
      <w:r>
        <w:rPr>
          <w:b/>
        </w:rPr>
        <w:t>E. 2</w:t>
      </w:r>
    </w:p>
    <w:p>
      <w:r>
        <w:t>a) Aux termes de l'art. 16d al. 1 de la loi fédérale sur la circulation routière du 19 décembre 1958 (LCR; RS 741.01), qui met en oeuvre les principes posés aux articles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Le permis de conduire retiré pour une durée indéterminée peut être restitué à certaines conditions après expiration d'un éventuel délai d'attente légal ou prescrit si la personne concernée peut prouver que son inaptitude à la conduite a disparu (art. 17 al.</w:t>
      </w:r>
    </w:p>
    <w:p>
      <w:r>
        <w:rPr>
          <w:b/>
        </w:rPr>
        <w:t>E. 2.2</w:t>
      </w:r>
    </w:p>
    <w:p>
      <w:r>
        <w:t>p. 84; CR.2009.0080 du 13 avril 2010 consid. 1). Selon la jurisprudence, un examen de l'aptitude à conduire doit être ordonné lorsqu'un conducteur circulant en étant pris de boisson présente une alcoolémie de 2.5 pour mille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Il en va de même pour le conducteur qui circule avec une alcoolémie de 1.74 pour mille et récidive, une année plus tard, avec une concentration d'alcool dans le sang d'au moins 1.79 pour mille (1C_243/2007 du 6 novembre 2007 consid. 2.2, ATF 129 II 82 consid. 4.2 p. 87 et les références) . La jurisprudence a précisé les exigences que devait respecter une expertise de la médecine du trafic pour constituer une base de décision suffisante en matière de retrait de sécurité.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(A TF 1C_243/2007 du</w:t>
      </w:r>
    </w:p>
    <w:p>
      <w:r>
        <w:rPr>
          <w:b/>
        </w:rPr>
        <w:t>E. 3</w:t>
      </w:r>
    </w:p>
    <w:p>
      <w:r>
        <w:t>LCR). b) L 'existence d'une dépendance à l'alcool au sens de l'art. 16d al. 1 let. b LCR est notamment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 2 let. c et 16d al. 1 let. b LCR ne recoupe pas la notion médicale de dépendance à l'alcool. La notion juridique permet en effet déjà d'écarter du trafic les personnes qui, par une consommation abusive d'alcool, se mettent concrètement en danger de devenir dépendantes au sens médical (1C_243/2007 du 6 novembre 2007 consid. 2.1, ATF 129 II 82 consid. 4.1 p. 86 s et les références; arrêt de la Cour de droit administratif et public du Tribunal cantonal CR.2009.0080 du 13 avril 2010 consid. 1). c) Le retrait de sécurité porte une atteinte grave à la personnalité de l'automobiliste concerné. C'est pourquoi, en vertu d'une jurisprudence développée avant l'entrée en vigueur de la novelle du 14 décembre 2001, mais qui reste valable sous le nouveau droit,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(ATF 1C_243/2007 du 6 novembre 2007 consid. 2.2, ATF 129 II 82 consid.</w:t>
      </w:r>
    </w:p>
    <w:p>
      <w:r>
        <w:rPr>
          <w:b/>
        </w:rPr>
        <w:t>E. 6</w:t>
      </w:r>
    </w:p>
    <w:p>
      <w:r>
        <w:t>novembre 2007 consid. 2.2 et les références; CR.2009.0080 du 13 avril 2010 consid. 1 ). d) En ce qui concerne l'appréciation des résultats d'un examen de conduite ou d'une course de contrôle, le tribunal a déjà jugé à plusieurs reprises qu'il n'était pas en mesure de substituer son appréciation à celle de l'expert du SAN. Déterminer la capacité d'une personne à conduire un véhicule suppose en effet des connaissances techniques spéciales, raison pour laquelle on recourt à des spécialistes qui, en raison de leurs connaissances et de leur expérience, sont particulièrement aptes à faire passer ces examens (cf. arrêts CR.2008.0160 du 19 mars 2009 consid. 3;  CR.2005.0110 du 30 décembre 2005 et les nombreuses références). e ) En l'espèce, suite à la maladie coronarienne du recourant ayant nécessité un double pontage en avril 2010, la Doctoresse Y.________ a informé les médecins conseil du SAN que son patient souhaitait faire une demande de dérogation formelle pour pouvoir conserver son permis. Cette demande était justifiée, dans la mesure où, en vertu de l'art. 14 al. 4 LCR, 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 Par ailleurs le recourant était au bénéfice d'un permis de conduire de catégorie B (transport professionnel de personnes, code 121 ; taxi), qui exige que le conducteur ne soit pas atteint de troubles cardio-vasculaires graves ou d'une anomalie grave de la tension artérielle. Le recourant a de ce fait été soumis à une expertise complète comprenant en particulier des examens médicaux (avec analyses de sang, contrôle d'alcoolémie, de dépendance aux drogues), des examens psychologiques et la prise de renseignements extérieurs, notamment auprès du médecin traitant du recourant et de son cardiologue. Une telle expertise répond à la nécessité de déterminer si le recourant est toujours en mesure d'exercer son métier de chauffeur de taxi, elle répond par ailleurs aux exigences jurisprudentielles décrites ci-dessus. Elle peut dès lors constituer la base d'une décision en matière de retrait de sécurité. 3. a) Il ressort du rapport d’expertise que le recourant est actuellement inapte à la conduite des véhicules à moteur pour le motif qu'il présente une problématique éthylique, notamment avec des pertes de contrôle de la consommation sous forme d'alcoolisations aiguës. Bien que les divers marqueurs mesurés ne permettent pas de mettre en exergue une consommation d'alcool supérieure aux valeurs de référence, les résultats obtenus ont été mis en relation avec d'autres examens qui ont relevé un comportement à risque. En effet, le recourant, relativement âgé, souffre de problèmes cardiaques ayant nécessité la pose de deux stents ainsi qu'un double pontage coronarien. En outre, selon le questionnaire AUDIT, il présente une consommation nocive d'alcool alors qu'il est avéré qu'il existe un risque d'hypoglycémie accru sous l'effet de l'alcool en conjonction avec un traitement antidiabétique (cf. arrêts CR.2007.0180 du 8 janvier 2008; CR.2006.0159 du 26 avril 2007). Il sied encore de relever que, alors même qu’il déclarait le 1 er novembre 2010 que l'issue de l'expertise représentait un "gros enjeu" pour lui, il a été admis aux urgences suite à un deuxième épisode d'éthylisme aigu (3,30 o/oo) le 6 novembre 2010, démontrant ainsi prendre des risques inconsidérés pour sa santé avec le risque d'avoir un malaise à tout moment, y compris au volant. b) Le recourant n'apporte aucun élément concret permettant de contredire les conclusions du rapport d’expertise. Même s’il traversait une période difficile et que les épisodes d'éthylisme aigus n'ont pas eu lieu au volant, il n’en demeure pas moins que sa consommation d’alcool s'avère nocive et dangereuse au vu de son état de santé général. Compte tenu des circonstances évoquées ci-dessus, l'autorité intimée n'avait d'autre choix que de prononcer un retrait de permis d'une durée indéterminée, de sorte que l'on ne saurait suivre le recourant en tant qu'il considère la décision disproportionnée, d’autant plus qu’elle concerne une autorisation de transport professionnel. 4. Il résulte des considérants qui précèdent que le recours doit être rejeté et la décision attaquée confirmée. Un émolument de justice sera mis à la charge du recourant débouté, qui n’a pas droit à des dépens (art. 49, 55, 91 et 99 de la loi du 28 octobre sur la procédure administrative ; LPA - 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