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CR.2011.0022 vom 17. Januar 2012</w:t>
      </w:r>
    </w:p>
    <w:p>
      <w:r>
        <w:t>VD Tribunal cantonal, 2012-01-17, FR</w:t>
      </w:r>
    </w:p>
    <w:p>
      <w:r>
        <w:rPr>
          <w:b/>
        </w:rPr>
        <w:t xml:space="preserve">Quelle: </w:t>
      </w:r>
      <w:r>
        <w:t>https://mcp.opencaselaw.ch/entscheid/vd_omni_CR.2011.0022</w:t>
      </w:r>
    </w:p>
    <w:p>
      <w:r>
        <w:t>FR: VD_OMNI CR.2011.0022 du 17 janvier 2012</w:t>
      </w:r>
    </w:p>
    <w:p>
      <w:r>
        <w:t>IT: VD_OMNI CR.2011.0022 del 17 gennaio 2012</w:t>
      </w:r>
    </w:p>
    <w:p>
      <w:pPr>
        <w:pStyle w:val="Heading2"/>
      </w:pPr>
      <w:r>
        <w:t>Regeste</w:t>
      </w:r>
    </w:p>
    <w:p>
      <w:r>
        <w:t>X.________ c/Service des automobiles et de la navigation | Professionnel de la construction qui a circulé avec une remorque accusant une surcharge de 696 kg, soit un dépassement de 34,80% du poids total maximum autorisé de 2'000 kg. Au regard de la jurisprudence, une telle infraction doit être qualifiée de moyennement grave au sens de l'art. 16b al. 1 let. a LCR et entraîner un retrait d'au moins un mois. S'en tenant à cette durée minimale, la décision attaquée ne peut qu'être confirmée, en dépit des bons antécédents du recourant et de l'utilité professionnelle de son permis de conduire. Recours rejeté. ATF 1C_106/2012 du 12 mars 2012: recours irrecevable.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La loi fédérale du 19 décembre 1958 sur la circulation routière (LCR; RS 741.01) distingue le cas de peu de gravité, le cas de gravité moyenne et le cas grave. La réalisation d’une infraction légère, moyenne ou grave dépend de la mise en danger du trafic et de la faute (Message du Conseil fédéral du 31 mars 1999 concernant la modification de la loi fédérale sur la circulation routière, FF 1999 pp. 4131 ss). Commet une infraction légère la personne qui, en violant les règles de la circulation,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met sérieusement en danger la sécurité d’autrui ou en prend le risque (art. 16 al. 1 let. a LCR). b) Aux termes de l'art. 29 LCR, les véhicules ne peuvent circuler que s'ils sont en parfait état de fonctionnement et répondent aux prescriptions. Ils doivent être construits et entretenus de manière que les règles de la circulation puissent être observées, que le conducteur, les passagers et autres usagers de la route ne soient pas mis en danger et que la chaussée ne subisse aucun dommage. L'art. 30 al. 2, 1 ère phrase, précise que les véhicules ne doivent pas être surchargés. c) Le Tribunal administratif puis la CDAP, se référant notamment à la jurisprudence de la Commission cantonale de recours en matière de circulation routière, ont jugé qu'en circulant au volant d'un véhicule de livraison surchargé le conducteur crée une mise en danger abstraite ou virtuelle du trafic (arrêt CR.2002.0115 du 2 octobre 2002; CR.2007.0287 du 25 janvier 2008 consid. 3). Une mise en danger étant retenue, le tribunal a qualifié d'infraction légère le fait de circuler avec une voiture de livraison accusant un excédant de charge de 690 kg, soit un dépassement de 19,71% du poids total maximum autorisé de 3'500 kg (arrêt CR.2007.0287 précité). Il a en revanche refusé de qualifier de faute légère le fait de circuler avec une voiture de livraison pesant 4'860 kg, alors que le poids maximum total autorisé est de 3'500 kg, ce qui correspond à un dépassement de plus de 38% (arrêt CR.2002.0115 précité). Dans cette affaire, il a été constaté que " la faute ne paraît pas subjectivement légère. Elle l'est d'autant moins que la charge n'était pas bien répartie puisqu'elle était supportée de manière excessive par l'essieu arrière de la camionnette. Cette situation comportait un risque évident d'éclatement des pneumatiques et par conséquent de perte de maîtrise du véhicule " . Une infraction moyennement grave a été retenue à l'encontre d'un conducteur circulant avec un véhicule dont la surcharge se montait à 1'476 kg, soit un dépassement de 42,17% du poids maximum total autorisé de 3'500 kg (arrêt CR 2008.0049 du 2 juillet 2008). Dans ce dernier arrêt, le tribunal a retenu qu'avec une telle surcharge la mécanique d'un véhicule ne pouvait plus fonctionner correctement et qu'en particulier la distance de freinage se trouvait allongée. Il a toutefois admis la difficulté pour un néophyte d'évaluer le poids exact d'un chargement, en particulier si celui-ci est constitué de meubles dans le cadre d'un déménagement. La CDAP a également qualifié d'infraction moyennement grave le fait de circuler avec un véhicule accusant une surcharge de 844 kg, soit  un dépassement de 37,35% du poids total maximum autorisé de 2'260 kg (arrêt CR.2008.0163 du 6 novembre 2008) et des surcharges de 1'262 kg et de 865 kg, soit un dépassement de 36,06%, respectivement de 28,57% du poids total maximum autorisé de 3'500 kg (arrêt CR.2008.0222 du 2 décembre 2008).</w:t>
      </w:r>
    </w:p>
    <w:p>
      <w:r>
        <w:rPr>
          <w:b/>
        </w:rPr>
        <w:t>E. 3</w:t>
      </w:r>
    </w:p>
    <w:p>
      <w:r>
        <w:t>En l'espèce, le recourant ne conteste pas les faits qui lui sont reprochés, mais remet en cause la qualification de l'infraction commise. Le recourant a circulé avec une remorque accusant une surcharge de 696 kg, soit un dépassement de 34,80% du poids total maximum autorisé de 2'000 kg. Au regard de la jurisprudence exposée ci-dessus, un tel pourcentage ne permet plus de qualifier la faute de légère. Loin d'être un néophyte comme dans le précédent cité (CR.2008.0049), le recourant est un professionnel de la construction et ne pouvait ignorer la surcharge. Lors de l'audience, il a expliqué du reste qu'il savait que la limite maximale de capacité de chargement de sa remorque pour du gravier se situait à 5 ou 10 centimètres en dessous des ridelles. Il a reconnu de plus qu'il se rendait le jour en question sur un chantier en Valais et qu'il avait essayé de remplir sa remorque au poids maximum autorisé, afin d'éviter de faire un trajet supplémentaire. La mise en danger créée ne saurait non plus être considérée comme légère. Avec un dépassement de poids de 34,80%, le risque que la remorque se déporte, notamment en cas de freinage brusque, déstabilise le véhicule tracteur et cause un accident ne peut être tenu pour négligeable. Au contraire, ce risque est d'autant plus réel que le recourant circulait sur l'autoroute et qu'il se rendait en Valais (il ne s'agissait pas d'un trajet de quelques kilomètres). Le fait que le poids remorquable maximum autorisé du véhicule tracteur s'élève à trois tonnes (soit un poids supérieur à la charge effective constatée lors du contrôle) n'est pas déterminant. Au regard de ces éléments, à savoir la faute commise et la mise en danger créée, c’est à juste titre que l’autorité intimée a qualifié l’infraction commise de moyennement grave au sens de l’art. 16b al. 1 let. a LCR.</w:t>
      </w:r>
    </w:p>
    <w:p>
      <w:r>
        <w:rPr>
          <w:b/>
        </w:rPr>
        <w:t>E. 4</w:t>
      </w:r>
    </w:p>
    <w:p>
      <w:r>
        <w:t>a) Selon l'art. 16b al. 2 let. a LCR, après une infraction moyennement grave, le permis de conduire est retiré pour un mois au minimum. b)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(art. 16 al. 3 LCR). S’agissant de la durée du retrait, le législateur s’est ainsi clairement prononcé pour un retrait impératif dans les cas de moyenne gravité, même si le contrevenant jouissait d’une réputation sans tache en tant que conducteur. Ce dernier élément ne jouera un rôle que pour fixer la durée du retrait du permis de conduire (ATF 128 II 282). c) En l'espèce, l'autorité intimée a sanctionné le recourant par un retrait de permis d'une durée d'un mois. Elle s'en est dès lors tenue à la durée minimale prévue par l'art. 16b al. 2 let. a LCR. Le tribunal ne peut ainsi que confirmer la sanction prononcée, en dépit des bons antécédents du recourant et de l'utilité professionnelle de son permis de conduire.</w:t>
      </w:r>
    </w:p>
    <w:p>
      <w:r>
        <w:rPr>
          <w:b/>
        </w:rPr>
        <w:t>E. 5</w:t>
      </w:r>
    </w:p>
    <w:p>
      <w:r>
        <w:t>Les considérants qui précèdent conduisent au rejet du recours et à la confirmation de la décision attaquée. Le recourant, qui succombe, supportera les frais de justice.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