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CR.2010.0075 vom 17. Februar 2011</w:t>
      </w:r>
    </w:p>
    <w:p>
      <w:r>
        <w:t>VD Tribunal cantonal, 2011-02-17, FR</w:t>
      </w:r>
    </w:p>
    <w:p>
      <w:r>
        <w:rPr>
          <w:b/>
        </w:rPr>
        <w:t xml:space="preserve">Quelle: </w:t>
      </w:r>
      <w:r>
        <w:t>https://mcp.opencaselaw.ch/entscheid/vd_omni_CR.2010.0075</w:t>
      </w:r>
    </w:p>
    <w:p>
      <w:r>
        <w:t>FR: VD_OMNI CR.2010.0075 du 17 février 2011</w:t>
      </w:r>
    </w:p>
    <w:p>
      <w:r>
        <w:t>IT: VD_OMNI CR.2010.0075 del 17 febbraio 2011</w:t>
      </w:r>
    </w:p>
    <w:p>
      <w:pPr>
        <w:pStyle w:val="Heading2"/>
      </w:pPr>
      <w:r>
        <w:t>Regeste</w:t>
      </w:r>
    </w:p>
    <w:p>
      <w:r>
        <w:t>X.________ c/Service des automobiles et de la navigation | Rappel de la jurisprudence selon laquelle les autorités administratives ne peuvent en principe pas s'écarter des constatations de fait d'un jugement pénal entré en force.</w:t>
      </w:r>
    </w:p>
    <w:p>
      <w:pPr>
        <w:pStyle w:val="Heading2"/>
      </w:pPr>
      <w:r>
        <w:t>Erwägungen</w:t>
      </w:r>
    </w:p>
    <w:p>
      <w:r>
        <w:rPr>
          <w:b/>
        </w:rPr>
        <w:t>E. 1</w:t>
      </w:r>
    </w:p>
    <w:p>
      <w:r>
        <w:t>Selon la jurisprudence constante du Tribunal fédéral, rappelée encore récemment (ATF 1C_274/2010 du 7 octobre 2010; ATF 1C_245/2010 du 13 juillet 2010 consid. 2.1; ATF 1C_93/2008 du 2 juillet 2008 consid. 2.1),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119 Ib 158 consid. 3c/aa; 105 Ib 18 consid. 1a; 101 Ib 270 consid. 1b; 96 I 766 consid. 5).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En l'espèce, la recourante n'a pas contesté le jugement du Juge d’instruction du Valais central du 2 septembre 2010, la reconnaissant coupable de violation grave des règles de circulation routière et la condamnant à une amende judiciaire de 650 fr. Non seulement elle ne pouvait ignorer son obligation de contester les faits au pénal, dans la mesure où elle avait déjà été condamnée une première fois en 2006 pour excès de vitesse, mais encore le SAN l’avait informée, le 9 août 2010, de l’ouverture d’une procédure administrative à son encontre et de son intention de prononcer une mesure de retrait du permis de conduire, en raison de l’excès de vitesse commis le 21 mai 2010. Le tribunal n'a aucune raison de s'écarter des faits tels qu'ils ressortent du rapport de police et tels que retenus par le jugement pénal. Il appartenait en effet à la recourante de les contester et de requérir des mesures d’instruction dans ce cadre-là, si elle les jugeait nécessaires. Il n'est dès lors pas donné suite aux mesures d’instruction requises par télécopie du 9 février 2010.</w:t>
      </w:r>
    </w:p>
    <w:p>
      <w:r>
        <w:rPr>
          <w:b/>
        </w:rPr>
        <w:t>E. 2</w:t>
      </w:r>
    </w:p>
    <w:p>
      <w:r>
        <w:t>La recourante se prévaut du principe " ne bis in idem " récemment confirmé par l’arrêt " Zolotoukhine" , rendu par la Cour européenne des droits de l’homme (voir arrêt rendu le 10 février 2009 dans la cause Sergueï Zolotoukhine c. Russie req. n°14939/03), pour contester le retrait de permis, alors qu’elle a déjà été sanctionnée au pénal pour les mêmes faits. Cette question a récemment fait l’objet d’une procédure de coordination selon l’art. 34 du règlement organique du Tribunal cantonal (ROTC, RSV 173.31.1: arrêt CR.2010.0071 du 28 janvier 2011). En substance, le tribunal a retenu qu'au regard de l'art. 4 du Protocole n° 7 de la Convention européenne de sauvegarde des droits de l'homme, la réalisation des éléments constitutifs d'infractions distinctes n'entraîne pas l'application de la règle " ne bis in idem ", pas davantage que celle-ci ne s'oppose à la répression multiple de délits continus ou répétés (ATF 135 IV 6 consid. 3 p. 9/10; CR.2010.0071 précité consid. 4b). Quant à la portée de l’arrêt Zolotoukhine, le tribunal a considéré que cet arrêt "ne porte pas sur le cumul d’une amende et d’un retrait du permis de conduire. Il est en outre difficile de discerner si, en rendant cet arrêt, la Cour européenne des droits de l’homme a entendu remettre en cause la décision topique Nilsson c. Suède, [décision Nilsson c. Suède du 13 décembre 2005, Recueil 2005-XIII p. 333ss] , au regard de laquelle ce cumul n’emporte pas de violation de la règle "ne bis in idem". Le Tribunal n’a dès lors pas de raison de s’écarter de cette solution. En outre, le système dual instauré par la LCR, dans lequel le juge pénal n’est pas compétent pour ordonner le retrait du permis de conduire, mesure qui relève de l’autorité administrative, a pour conséquence que seul le concours des deux autorités permet d’examiner l’état de fait sous tous ses aspects juridiques; en ce sens, la règle "ne bis in idem" ne s’applique pas au domaine considéré" (ATF 125 II 402 consid. 1b p. 404/405; CR.2010.0071 précité consid. 4c) . Au vu de cette jurisprudence, ce grief doit être rejeté.</w:t>
      </w:r>
    </w:p>
    <w:p>
      <w:r>
        <w:rPr>
          <w:b/>
        </w:rPr>
        <w:t>E. 3</w:t>
      </w:r>
    </w:p>
    <w:p>
      <w:r>
        <w:t>a) Aux termes de l'art. 16 al. 2 de la loi fédérale du 19 décembre 1958 sur la circulation routière (LCR ;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également une infraction légère la personne qui conduit un véhicule automobile en état d’ébriété sans pour autant présenter un taux d’alcoolémie qualifié (art. 55, al. 6) et qui, ce faisant, ne commet pas d’autres infractions aux règles de la circulation routière (art. 16a al. 1 let. b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d LCR). c) Afin d’assurer l’égalité de traitement entre les conducteurs, la jurisprudence a été amenée à fixer des règles précises dans le domaine des excès de vitesse (voir, pour un récent récapitulatif l'ATF 1C_83/2008 du 16 octobre 2008 ainsi que l’ATF 1C_216/2009 du 14 septembre 2009 consid. 5.2).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 124 II 475 consid. 2a).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d)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(ATF 1C_83/2008 précité consid. 2.5). En 2009, 1139 blessés graves et 118 tués, soit ¼ des dommages corporels graves sur les routes, ont été recensés en raison d’une vitesse excessive ou non adaptée aux conditions de circulation. C’est particulièrement sur les routes hors localité que celle-ci a des conséquences fatales (bpa – Bureau de prévention des accidents. Rapport SINUS 2010; Niveau de sécurité et accidents dans la circulation routière en 2009. Berne: bpa; 2010 , ISSN 1664-5782, page 64). e)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w:t>
      </w:r>
    </w:p>
    <w:p>
      <w:r>
        <w:rPr>
          <w:b/>
        </w:rPr>
        <w:t>E. 4</w:t>
      </w:r>
    </w:p>
    <w:p>
      <w:r>
        <w:t>En l’espèce, la recourante ne conteste pas la mesure, mais estime que la durée du retrait de 12 mois est disproportionnée et aura de graves conséquences tant sur un plan professionnel que privé. Elle fait valoir que l’infraction a eu lieu sur autoroute, qu’elle n’a généré aucun accident, qu’elle est une conductrice irréprochable depuis 1977. La recourante a commis un excès de vitesse de 36 km/h sur autoroute et alors que le trafic était dense. Le dépassement de vitesse constaté constitue objectivement un cas grave au sens de l'art. 16c al. 1 let. a LCR, devant entraîner, conformément à l'art. 16c al. 2 let. c LCR, un retrait pour douze mois au minimum, dans la mesure où le permis de la recourante a été retiré une première fois en raison d’une infraction grave commise le 30 mai 2006, soit au cours des cinq années précédant le nouvel excès de vitesse. Cette durée correspond à la durée minimale dans un tel cas. Les circonstances invoquées par la recourante ne permettent ainsi pas de s'écarter du minimum légal au regard de l'art. 16 al. 3 LCR. Au contraire, on relève que le fait d’avoir décroché son téléphone portable, alors qu’elle roulait sur autoroute dans un trafic dense et sans faire usage d’un dispositif mains libres, pourrait constituer une circonstance aggravante qui aurait pu conduire l’autorité intimée à prononcer une peine supérieure au minimum légal. Tenant compte du besoin professionnel avéré de la recourante, le tribunal renonce toutefois à examiner la question d’une éventuelle reformatio in pejus (soit une modification de la décision attaquée au détriment de la recourante: art. 89 al. 2 et 3 loi du 28 octobre 2008 sur la procédure administrative – [LPA-VD; RSV 173.36] , applicable par renvoi de l’art. 99 LPA-VD). En conséquence, la décision attaquée, qui prononce la durée minimale pour un grave excès de vitesse, doit être confirmée.</w:t>
      </w:r>
    </w:p>
    <w:p>
      <w:r>
        <w:rPr>
          <w:b/>
        </w:rPr>
        <w:t>E. 5</w:t>
      </w:r>
    </w:p>
    <w:p>
      <w:r>
        <w:t>Les considérants qui précèdent conduisent au rejet du recours aux frais de la recourante (art. 49 LPA-VD) et à la confirmation de la décision entreprise.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