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CR.2010.0068 vom 14. Juni 2011</w:t>
      </w:r>
    </w:p>
    <w:p>
      <w:r>
        <w:t>VD Tribunal cantonal, 2011-06-14, FR</w:t>
      </w:r>
    </w:p>
    <w:p>
      <w:r>
        <w:rPr>
          <w:b/>
        </w:rPr>
        <w:t xml:space="preserve">Quelle: </w:t>
      </w:r>
      <w:r>
        <w:t>https://mcp.opencaselaw.ch/entscheid/vd_omni_CR.2010.0068</w:t>
      </w:r>
    </w:p>
    <w:p>
      <w:r>
        <w:t>FR: VD_OMNI CR.2010.0068 du 14 juin 2011</w:t>
      </w:r>
    </w:p>
    <w:p>
      <w:r>
        <w:t>IT: VD_OMNI CR.2010.0068 del 14 giugno 2011</w:t>
      </w:r>
    </w:p>
    <w:p>
      <w:pPr>
        <w:pStyle w:val="Heading2"/>
      </w:pPr>
      <w:r>
        <w:t>Regeste</w:t>
      </w:r>
    </w:p>
    <w:p>
      <w:r>
        <w:t>X._______/Service des automobiles et de la navigation | Confirmation d'une décision de retrait du permis de conduire pour une durée d'un mois. La recourante, qui a garé son véhicule dans une rue à forte pente (17%), a omis de prendre une deuxième mesure de sécurité propre à le maintenir à l'arrêt. Son véhicule a dévalé la rue sur une quinzaine de mètres en ligne droite et a été retenu par un panneau de signalisation et une petite butte, juste avant une intersection avec une autre route. Faute qualifiée de moyennement grave.</w:t>
      </w:r>
    </w:p>
    <w:p>
      <w:pPr>
        <w:pStyle w:val="Heading2"/>
      </w:pPr>
      <w:r>
        <w:t>Erwägungen</w:t>
      </w:r>
    </w:p>
    <w:p>
      <w:r>
        <w:rPr>
          <w:b/>
        </w:rPr>
        <w:t>E. 1</w:t>
      </w:r>
    </w:p>
    <w:p>
      <w:r>
        <w:t>Déposé en temps utile, le recours respecte les conditions formelles énoncées à l'art. 79 de la loi vaudoise du 28 octobre 2008 sur la procédure administrative (LPA-VD; RSV 173.36). Il y a donc lieu d'entrer en matière sur le fond.</w:t>
      </w:r>
    </w:p>
    <w:p>
      <w:r>
        <w:rPr>
          <w:b/>
        </w:rPr>
        <w:t>E. 2</w:t>
      </w:r>
    </w:p>
    <w:p>
      <w:r>
        <w:t>En substance, la recourante soutient que la faute qu'elle a commise, consistant à omettre d'engager une vitesse ou de tourner les roues de son véhicule contre le bord de la chaussée, devrait être qualifiée de légère. Dans cette mesure, elle estime qu'un simple avertissement devrait être prononcé, en lieu et place d'un retrait de permis de conduire pour une durée d'un mois. a ) La loi fait la distinction entre les cas de peu de gravité (art. 16 a LCR), les cas de gravité moyenne (art. 16 b LCR) et les cas graves (art. 16 c LCR). Commet une infraction légère la personne qui, en violant les règles de la circulation routière, met légèrement en danger la sécurité d’autrui et à laquelle seule une faute bénigne peut être imputée (art. 16 a al. 1 let. a LCR). Dans cette hypothèse, il ne peut être renoncé au retrait du permis du conducteur fautif au profit d'un avertissement que si, au cours des deux années précédentes, le permis ne lui a pas été retiré et qu'aucune autre mesure administrative n'a été prononcée (art. 16 a al. 2 et 3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 b al. 1 let. a LCR). Dans cette hypothèse, le permis de conduire est retiré pour un mois au minimum (art. 16 b al. 2 let. a LCR). Commet une infraction grave selon l'art. 16 c al. 1 let. a LCR la personne qui, en violant gravement les règles de la circulation, met sérieusement en danger la sécurité d'autrui ou en prend le risque. Conformément à l'art. 16 c al. 2 let. a LCR, le permis d'élève-conducteur ou le permis de conduire est retiré pour trois mois au minimum après 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l'art. 16 al. 3 LCR. Le législateur conçoit l’art. 16 b al. 1 let. a LCR comme l’élément dit de regroupement. Cette disposition n’est ainsi pas applicable aux infractions qui tombent sous le coup des art. 16 a al. 1 ou 16 c al. 1 let. a LCR. Dès lors, l’infraction est toujours considérée comme moyennement grave lorsque tous les éléments constitutifs qui permettent de la définir comme légère ou au contraire de la qualifier de grave ne sont pas réunis (FF 1999 IV 4106, en particulier 4132). b) L'art. 37 al.</w:t>
      </w:r>
    </w:p>
    <w:p>
      <w:r>
        <w:rPr>
          <w:b/>
        </w:rPr>
        <w:t>E. 3</w:t>
      </w:r>
    </w:p>
    <w:p>
      <w:r>
        <w:t>D ès lors que la durée minimale du retrait de permis ne peut pas être réduite (art. 16 al. 3 LCR) et que l'autorité intimée a arrêté la quotité de la sanction au minimum légal, soit un mois, la décision querellée doit être confirmée.</w:t>
      </w:r>
    </w:p>
    <w:p>
      <w:r>
        <w:rPr>
          <w:b/>
        </w:rPr>
        <w:t>E. 4</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