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CR.2010.0055 vom 29. März 2011</w:t>
      </w:r>
    </w:p>
    <w:p>
      <w:r>
        <w:t>VD Tribunal cantonal, 2011-03-29, FR</w:t>
      </w:r>
    </w:p>
    <w:p>
      <w:r>
        <w:rPr>
          <w:b/>
        </w:rPr>
        <w:t xml:space="preserve">Quelle: </w:t>
      </w:r>
      <w:r>
        <w:t>https://mcp.opencaselaw.ch/entscheid/vd_omni_CR.2010.0055</w:t>
      </w:r>
    </w:p>
    <w:p>
      <w:r>
        <w:t>FR: VD_OMNI CR.2010.0055 du 29 mars 2011</w:t>
      </w:r>
    </w:p>
    <w:p>
      <w:r>
        <w:t>IT: VD_OMNI CR.2010.0055 del 29 marzo 2011</w:t>
      </w:r>
    </w:p>
    <w:p>
      <w:pPr>
        <w:pStyle w:val="Heading2"/>
      </w:pPr>
      <w:r>
        <w:t>Regeste</w:t>
      </w:r>
    </w:p>
    <w:p>
      <w:r>
        <w:t>X.________ c/Service des automobiles et de la navigation | Excès de vitesse de 41 km/h à l'intérieur d'une locatité. Infraction grave au sens de l'art. 16c al. 1 let. a LCR. Le recourant, qui s'est vu retirer son permis en 2007 en raison d'une infraction grave, se trouve en situation de récidive au sens de l'art. 16c al. 2 let. c LCR et doit être sanctionné par un retrait d'une durée de 12 mois au minimum. La décision attaquée, qui s'en tient à cette durée minimale, ne peut qu'être confirmée.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du 19 décembre 1958 sur la circulation routière (LCR; RS 741.01) distingue le cas de peu de gravité, le cas de gravité moyenne et le cas grave. La réalisation d’une infraction légère, moyenne ou grave dépend de la mise en danger du trafic et de la faute (Message du Conseil fédéral du 31 mars 1999 concernant la modification de la loi fédérale sur la circulation routière, FF 1999 pp. 4131 ss).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 al. 1 let. a LCR). 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Malgré les critiques formulées notamment dans la doctrine, ce système de seuils schématiques arrêté par la jurisprudence en matière d'excès de vitesse a été confirmé dans des arrêts récents du Tribunal fédéral (arrêts 1C_585/2008 du 14 mai 2009; 1C_83/2008 du 16 octobre 2008 consid. 2). Cette jurisprudence ne dispense toutefois pas l'autorité de tout examen des circonstances du cas concret. D'une part, l'importance de la mise en danger et celle de la faute doivent être appréciées afin de déterminer quelle doit être la durée d'un retrait de permis (voir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124 II 97 consid. 2c, p. 101; 123 II 37 consid. 1f, p. 41). c) En l'espèce, le recourant a commis un excès de vitesse de 41 km/h à l'intérieur d'une localité. Au regard de la jurisprudence précitée, ce dépassement de vitesse constitue objectivement un cas grave au sens de l'art. 16c al. 1 let a LCR. Le recourant fait toutefois valoir qu'il ne pensait pas circuler sur un tronçon limité à 60 km/h, compte tenu de la configuration de la route ("quatre voies, grand tunnel en face, pas d'habitations sur les abords" ), et qu'il n'aurait ainsi pas commis volontairement l'infraction en cause, ce qui justifierait à ses yeux, une atténuation de la sanction prononcée. Ce raisonnement revient à faire abstraction de la signalisation routière mise en place et à admettre que les limitations de vitesse fixées par l'autorité compétente peuvent être remises en cause. Or, les signaux sont juridiquement valables lorsqu'ils ont été placés à la suite d'une décision et d'une publication conformes de l'autorité compétente, visiblement exprimées sous la forme de la signalisation concrète (ATF 1C_526/2009 du 25 mars 2010 consid. 2; 126 II 196 consid. 2b et références; voir ég. arrêt CR.2009.0032 du 19 août 2009 consid. 3). Le Tribunal s'est certes écarté de sa jurisprudence en matière d'excès de vitesse en localité dans un cas où le panneau des 50 km/h était masqué par des branchages et n’était par conséquent pas visible, ceci dans un secteur qui, pour le surplus, ne pouvait pas être reconnu comme faisant partie d'une zone bâtie (tronçon rectiligne bordé de champs) (ATF 6A.11/2000 du 7 septembre 2000). Cette jurisprudence ne saurait toutefois être appliquée dans le cas d'espèce, dès lors que le recourant ne prétend pas que le panneau limitant la vitesse à 60 km/h n'était pas visible (il semble au contraire reconnaître ne pas s'être montré suffisamment attentif à la signalisation). Au regard de ces éléments, c'est à juste titre que le SAN a qualifié l'infraction commise de grave au sens de l'art. 16c al. 1 let. a LCR.</w:t>
      </w:r>
    </w:p>
    <w:p>
      <w:r>
        <w:rPr>
          <w:b/>
        </w:rPr>
        <w:t>E. 3</w:t>
      </w:r>
    </w:p>
    <w:p>
      <w:r>
        <w:t>a) Selon l’art. 16c al. 2 LCR, 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b) En l'espèce, le recourant s'est vu retirer son permis en 2007 (mesure exécutée du 12 décembre 2007 au 11 mars 2008) en raison d'une infraction grave. Il se trouve ainsi en situation de récidive au sens de l’art. 16c al. 2 let. c LCR et doit être sanctionné par un retrait de permis d’une durée de douze mois au minimum. La décision attaquée s'en tenant à cette durée minimale, le tribunal ne peut que la confirmer (art. 16 al. 3, 2 ème phrase, LCR).</w:t>
      </w:r>
    </w:p>
    <w:p>
      <w:r>
        <w:rPr>
          <w:b/>
        </w:rPr>
        <w:t>E. 4</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