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CR.2010.0051 vom 11. November 2010</w:t>
      </w:r>
    </w:p>
    <w:p>
      <w:r>
        <w:t>VD Tribunal cantonal, 2010-11-11, FR</w:t>
      </w:r>
    </w:p>
    <w:p>
      <w:r>
        <w:rPr>
          <w:b/>
        </w:rPr>
        <w:t xml:space="preserve">Quelle: </w:t>
      </w:r>
      <w:r>
        <w:t>https://mcp.opencaselaw.ch/entscheid/vd_omni_CR.2010.0051</w:t>
      </w:r>
    </w:p>
    <w:p>
      <w:r>
        <w:t>FR: VD_OMNI CR.2010.0051 du 11 novembre 2010</w:t>
      </w:r>
    </w:p>
    <w:p>
      <w:r>
        <w:t>IT: VD_OMNI CR.2010.0051 del 11 novembre 2010</w:t>
      </w:r>
    </w:p>
    <w:p>
      <w:pPr>
        <w:pStyle w:val="Heading2"/>
      </w:pPr>
      <w:r>
        <w:t>Regeste</w:t>
      </w:r>
    </w:p>
    <w:p>
      <w:r>
        <w:t>AX.________ c/Service des automobiles et de la navigation | Retrait préventif du permis de conduire confirmé; rappel de la jurisprudence selon laquelle un examen de l'aptitude à conduire doit être ordonné lorsqu'un conducteur circulant en étant pris de boisson présente une alcoolémie de 2,5 o/oo ou plus; en l'espèce, la prise de sang a révélé un taux d'alcoolémie minimal de 2,48 o/oo et un taux maximal de 2,74 o/oo, la valeur moyenne s'élevant ainsi à 2,61 o/oo; le principe de la présomption d'innocence ne trouve pas application en ce qui concerne la question de savoir à partir de quelle concentration d'alcool dans le sang un retrait de sécurité du permis de conduire doit être ordonné, de sorte que la mesure d'alcoolémie la plus élevée peut être prise en compte; le taux d'alcoolémie minimal de 2,48 o/oo étant dans le cas présent très proche de la limite de 2,5 o/oo fixée par la jurisprudence et les taux moyen et maximal dépassant clairement cette limite, un signe de dépendance alcoolique ne peut être exclu et c'est ainsi à bon droit que l'autorité intimée a requis une expertise afin d'examiner l'aptitude à conduire du recourant; dès l'instant où un doute existe quant à la capacité de l'intéressé à circuler au volant d'un véhicule automobile, l'autorité intimée n'avait d'autre choix que de prononcer le retrait immédiat à titre préventif du permis de conduire jusqu'à droit connu sur le résultat de l'expertise destinée à dissiper ce doute.</w:t>
      </w:r>
    </w:p>
    <w:p>
      <w:pPr>
        <w:pStyle w:val="Heading2"/>
      </w:pPr>
      <w:r>
        <w:t>Erwägungen</w:t>
      </w:r>
    </w:p>
    <w:p>
      <w:r>
        <w:rPr>
          <w:b/>
        </w:rPr>
        <w:t>E. 1</w:t>
      </w:r>
    </w:p>
    <w:p>
      <w:r>
        <w:t>a)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Aux termes de l'art. 16d al. 1 LCR, qui met en oeuvre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b) L 'existence d'une dépendance à l'alcool au sens de l'art. 16d al. 1 let. b LCR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La notion juridique permet en effet déjà d'écarter du trafic les personnes qui, par une consommation abusive d'alcool, se mettent concrètement en danger de devenir dépendantes au sens médical  (ATF 1C_243/2007 du 6 novembre 2007 consid. 2.1, ATF 129 II 82 consid. 4.1 p. 86 s et les références; arrêt CR.2009.0080 du 13 avril 2010 consid. 1). c) Le retrait de sécurité porte une atteinte grave à la personnalité de l'automobiliste concerné. C'est pourquoi, l'autorité compétente doit, avant d'ordonner un tel retrait, éclaircir d'office et dans chaque cas la situation de l'intéressé.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(ATF 1C_243/2007 du 6 novembre 2007 consid. 2.2, ATF 129 II 82 consid. 2.2 p. 84; CR.2009.0080 du 13 avril 2010 consid. 1). Selon la jurisprudence,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Il en va notamment de même pour le conducteur qui circule avec une alcoolémie de 1,74 ‰ et récidive, une année plus tard, avec une concentration d'alcool dans le sang d'au moins 1,79 ‰ (ATF 1C_243/2007 du 6 novembre 2007 consid. 2.2, ATF 129 II 82 consid. 4.2 p. 87 et les références) . d ) En l'espèce, la prise de sang effectuée le 30 mai 2010 a révélé un taux d'alcoolémie minimal de 2,48 ‰ et un taux maximal de 2,74 ‰ , la valeur moyenne s’élevant ainsi à 2,61 ‰ . Selon la jurisprudence fédérale, le principe de la présomption d’innocence ne trouve pas application en ce qui concerne la question de savoir à partir de quelle concentration d’alcool dans le sang un retrait de sécurité du permis de conduire doit être ordonné (ATF 1C_99/2007 du 13 juillet 2007 consid. 4.1). La mesure d’alcoolémie la plus élevée peut ainsi être prise en compte (ATF 129 II 82 consid. 4.3) et le Tribunal fédéral a dès lors confirmé des retraits de sécurité en se fondant sur la concentration moyenne d’alcool dans le sang (ATF 125 II 396 consid. 2b et 6A.106/2001 du 26 novembre 2001 consid. 3c/bb). Dans le cas particulier, le taux d’alcoolémie minimal de 2,48 ‰ est très proche de la limite de 2,5 ‰ fixée par la jurisprudence et les taux moyen et maximal dépassent clairement cette limite. On ne saurait dès lors exclure un signe de dépendance alcoolique et c'est donc à bon droit que l'autorité intimée a requis une expertise afin d'examiner l'aptitude à conduire du recourant.</w:t>
      </w:r>
    </w:p>
    <w:p>
      <w:r>
        <w:rPr>
          <w:b/>
        </w:rPr>
        <w:t>E. 2</w:t>
      </w:r>
    </w:p>
    <w:p>
      <w:r>
        <w:t>a)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b)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à cet égard pas nécessaire, car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(ATF 1C_173/2009 du 27 mai 2009 consid. 3.1). En particulier, elle n'a pas à surseoir jusqu'à droit connu sur l'action pénale (ATF 122 II 359 consid. 2b). Le retrait préventif peut notamment être prononcé si un examen médical ou le comportement de l'intéressé révèle des indices concrets d'une inaptitude à la conduite, pour des raisons d'ordre caractériel ou pour d'autres motifs. En d'autres termes,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(CR.2003.0171 du 6 octobre 2003). c) En l'espèce, selon une jurisprudence constante (par exemple CR.2005.0067 du 4 mai 2005, CR.2004.0332 du 17 février 2005, CR.2005.0005 du 27 janvier 2005, CR.2004.0255 du 8 décembre 2004, CR.2004.0214 du 2 novembre 2004), le tribunal confirme systématiquement les mesures de retrait de permis à titre préventif lorsque les conditions d’un examen de l’aptitude à conduire fixées par la jurisprudence du Tribunal fédéral sont remplies (en particulier une ivresse au volant avec un taux de 2,5 ‰ au moins). En effet, le tribunal a déduit de cette jurisprudence que, dans de tels cas, les craintes que le comportement du conducteur vis-à-vis de l'alcool inspire sont telles qu'il doit être écarté immédiatement de la circulation routière jusqu'à ce que les doutes quant à son aptitude à conduire aient été levés au moyen d'une expertise (CR.2002.0065 du 17 avril 2002). En l'occurrence, comme on l'a vu (consid. 1d), les exigences requises par la jurisprudence pour ordonner un examen de l'aptitude à la conduite du recourant sont réalisées. En effet, même si le taux d'alcoolémie minimal révélé par la prise de sang est inférieur à 2,5 ‰, le taux de 2,48 ‰ est très proche de cette limite et les taux moyen et maximal la dépassent clairement. En outre, même si cet élément n'est pas déterminant au vu de l'écoulement du temps, le recourant a fait l'objet de trois retraits de permis de conduire entre 1991 et 1996 pour conduite en état d'ébriété, ce qui corrobore les indices d'inaptitude à la conduite pour soupçon d'alcoolisme résultant du taux très élevé d'alcoolémie constaté le 30 mai 2010. L'autorité intimée n'a dès lors pas abusé de son pouvoir d'appréciation en retirant à titre préventif le permis de conduire du recourant jusqu'à ce que les doutes relatifs à son aptitude à conduire aient été levés. Dès l'instant où elle pouvait conclure à l'existence d'un doute fondé sur la capacité de l'intéressé à circuler au volant d'un véhicule automobile, l'autorité intimée n'avait en effet d'autre choix que de prononcer le retrait immédiat à titre préventif du permis de conduire, jusqu'à droit connu sur le résultat de l'expertise destinée à dissiper ce doute.</w:t>
      </w:r>
    </w:p>
    <w:p>
      <w:r>
        <w:rPr>
          <w:b/>
        </w:rPr>
        <w:t>E. 3</w:t>
      </w:r>
    </w:p>
    <w:p>
      <w:r>
        <w:t>Il résulte des considérants qui précèdent que le recours doit être rejeté et la décision attaquée confirmée. Au vu de ce résultat, les frais de justice sont mis à la charge du recourant (art. 49 al. 1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