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CR.2010.0039 vom 29. März 2011</w:t>
      </w:r>
    </w:p>
    <w:p>
      <w:r>
        <w:t>VD Tribunal cantonal, 2011-03-29, FR</w:t>
      </w:r>
    </w:p>
    <w:p>
      <w:r>
        <w:rPr>
          <w:b/>
        </w:rPr>
        <w:t xml:space="preserve">Quelle: </w:t>
      </w:r>
      <w:r>
        <w:t>https://mcp.opencaselaw.ch/entscheid/vd_omni_CR.2010.0039</w:t>
      </w:r>
    </w:p>
    <w:p>
      <w:r>
        <w:t>FR: VD_OMNI CR.2010.0039 du 29 mars 2011</w:t>
      </w:r>
    </w:p>
    <w:p>
      <w:r>
        <w:t>IT: VD_OMNI CR.2010.0039 del 29 marzo 2011</w:t>
      </w:r>
    </w:p>
    <w:p>
      <w:pPr>
        <w:pStyle w:val="Heading2"/>
      </w:pPr>
      <w:r>
        <w:t>Regeste</w:t>
      </w:r>
    </w:p>
    <w:p>
      <w:r>
        <w:t>X._________ c/Service des automobiles et de la navigation | Constitue une infraction grave un excès de vitesse de 26 km/h à l'intérieur d'une localité. S'étant déjà vu retirer son permis de conduire pour faute grave à trois reprises au cours des dix dernières années, le recourant, en situation de récidive, doit être sanctionné par un retrait d'une durée de 24 mois au minimum. Confirmation de la décision attaquée qui s'en tient à cette durée minimale et rejet du recours.</w:t>
      </w:r>
    </w:p>
    <w:p>
      <w:pPr>
        <w:pStyle w:val="Heading2"/>
      </w:pPr>
      <w:r>
        <w:t>Erwägungen</w:t>
      </w:r>
    </w:p>
    <w:p>
      <w:r>
        <w:rPr>
          <w:b/>
        </w:rPr>
        <w:t>E. 1</w:t>
      </w:r>
    </w:p>
    <w:p>
      <w:r>
        <w:t>Formé dans le délai de trente jours prévu par l’art. 95 de la loi vaudoise du 28 octobre 2008 sur la procédure administrative (LPA-VD; RSV 173.36), le recours est intervenu en temps utile. Il satisfait de surcroît aux conditions formelles énoncées à l’art. 79 al. 1 LPA-VD. Par ailleurs, en tant que destinataire de la décision attaquée, le recourant a qualité pour recourir au sens de l'art. 75 al. 1 let. a LPA-VD, de sorte qu'il y a lieu d'entrer en matière sur le fond.</w:t>
      </w:r>
    </w:p>
    <w:p>
      <w:r>
        <w:rPr>
          <w:b/>
        </w:rPr>
        <w:t>E. 2</w:t>
      </w:r>
    </w:p>
    <w:p>
      <w:r>
        <w:t>a) Aux termes de l'art. 16 al. 2 de la loi fédérale du 19 décembre 1958 sur la circulation routière (LCR; RS 741.01), lorsque la procédure prévue par la loi fédérale du 24 juin 1970 sur les amendes d’ordre (LAO; RS 741.03) n’est pas applicable, une infraction aux prescriptions sur la circulation routière entraîne le retrait du permis d’élève conducteur ou du permis de conduire ou un avertissement.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b) La loi fait la distinction entre les cas de peu de gravité (art. 16a LCR), les cas de gravité moyenne (art. 16b LCR) et les cas graves (art. 16c LCR). Commet une infraction légère au sens de l'art. 16a al. 1 LCR la personne qui, notamment, en violant les règles de la circulation, met légèrement en danger la sécurité d’autrui et à laquelle seule une faute bénigne peut être imputée (let. a). Commet une infraction moyennement grave au sens de l'art. 16b al. 1 LCR la personne qui, notamment, en violant les règles de la circulation, crée un danger pour la sécurité d’autrui ou en prend le risque (let. a). Dans cette hypothèse, le permis de conduire est retiré pour un mois au minimum (art. 16b al. 2 let. a LCR). Commet enfin une infraction grave au sens de l'art. 16c al. 1 LCR la personne qui, notamment, en violant gravement les règles de la circulation, met sérieusement en danger la sécurité d’autrui ou en prend le risque (let. a). Dans ce cas, le permis de conduire est retiré pour trois mois au minimum (art. 16c al. 2 let. a LCR). Toutefois, si dans les dix années précédentes, le permis avait déjà été retiré à deux reprises en raison d'infractions graves ou à trois reprises en raison d'infraction qualifiées de moyennement graves au moins, le permis sera retiré pour une durée indéterminée, mais pour deux ans au minimum; il est renoncé à cette mesure si, dans les cinq ans suivant l'expiration d'un retrait, aucune infraction donnant lieu à une mesure administrative n'a été commise (art. 16c al. 2 let. d LCR). c)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124 II 259 consid. 2b p. 262). Il est en revanche de moyenne gravité lorsque le dépassement de la vitesse autorisée est, respectivement, de 21 à 24 km/h (ATF 126 II 196 consid. 2a), de 26 à 29 km/h et de 31 à 34 km/h (ATF 128 II 131 consid. 2; pour un récent récapitulatif de ces seuils schématiques voir l'ATF 1C_526/2009 du 25 mars 2010 consid. 3.1 et la réf. cit.). Ces chiffres s'appliquent lorsque les conditions de circulation sont favorables et que le conducteur jouit d'une bonne réputation en tant qu'automobiliste; il n'est dès lors nullement exclu de faire preuve d'une sévérité plus grande en fonction des circonstances concrètes (ATF 124 II 475 consid. 2a; 1C_81/2007 du 31 octobre 2007 consid. 4). Une moindre sévérité peut être justifiée par des circonstances exceptionnelles, telles que celles susceptibles d'entraîner une application analogique de l'art. 66bis CP (actuellement art. 54 CP) ou une erreur compréhensible sur la vitesse autorisée (ATF 124 II 475; 126 II 196; cf. également Cédric Mizel, Les nouvelles dispositions légales sur le retrait du permis de conduire, RDAF 2004 I, p. 384 s). d)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en dehors des localités ou à l'intérieur des localités. Ils n'ont pas été fixés à la légère, mais reposent sur les considérations d'un collège d'experts mandatés par la Cour de cassation pénale du Tribunal fédéral. Ces derniers ont ainsi relevé que les excès de vitesse représentent une importante source de dangers à l'intérieur des localités. Les conducteurs doivent en effet gérer un plus grand nombre de paramètres que sur les routes principales situées en dehors des localités ou sur une autoroute, ce qui exige d'eux une attention plus soutenue. Par ailleurs, on rencontre à l'intérieur des localités de nombreux usagers de la route, tels que des enfants, des personnes âgées ou encore des cyclistes, qui sont exposés à un danger particulier en raison de leur vulnérabilité. Il existe en outre un risque plus élevé de collisions latérales avec d'autres véhicules automobiles débouchant d'artères secondaires. Ces considérations demeurent pleinement valables aujourd'hui; en effet, si les dépassements de la vitesse maximale autorisée ont connu une tendance à la baisse au cours de la dernière décennie, ils constituent néanmoins toujours la principale cause des accidents de la route et des retraits de permis de conduire, selon le rapport SINUS 2007 du Bureau de prévention des accidents et la statistique des mesures administratives frappant les conducteurs de véhicules établie par l'Office fédéral des routes (ATF 1C_83/2008 du 16 octobre 2008 consid. 2.5). e) Les circonstances personnelles ne peuvent être prises en considération que pour décider de la durée du retrait, et non de la mesure elle-même, dont le prononcé est subordonné aux critères fixés par la loi et la jurisprudence. Aussi a-t-il été jugé à maintes reprises que la bonne réputation du conducteur ou le besoin professionnel qu'il a de son permis ne peuvent être pris en compte que pour fixer la durée du retrait, le choix de la mesure devant, lui, se faire en fonction de la gravité du cas d'espèce. Dans les cas d'application de l'art. 16c LCR, il n'est pas possible, même dans des circonstances particulières, de retirer le permis de conduire pour une durée inférieure aux durées minimales prévues par cette disposition (ATF 6A.100/2006 du 28 mars 2007 consid. 4 et 132 II 234 consid. 2). En effet, selon la jurisprudence du Tribunal fédéral,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du 31 mars 1999 concernant la modification de la LCR, FF 1999 IV p. 4106, spéc. p. 4131; ATF 135 II 334 consid. 2.2 p. 336; 132 II 234 consid. 2.3). Cette volonté d'uniformité, clairement exprimée par le législateur, s'oppose ainsi à l'introduction de nouvelles exceptions par voie d'interprétation en faveur des conducteurs pour lesquels l'usage d'un véhicule adapté à leur handicap compense des difficultés de mobilité physiques, tels que les paraplégiques (ATF 6A.38/2006 du 7 septembre 2006 consid. 3 résumé in JdT 2006 I 412). De même, elle exclut la possibilité ouverte par la jurisprudence, sous l'ancien droit, de réduire la durée minimale du retrait du permis, voire de renoncer à toute sanction en cas de faute particulièrement peu grave (ATF 6A.61/2006 du 23 novembre 2006 consid. 4.3 et 4.5 résumés in JdT 2007 I 502; pour une récapitulation générale voir l'ATF 1C_83/2008 précité).</w:t>
      </w:r>
    </w:p>
    <w:p>
      <w:r>
        <w:rPr>
          <w:b/>
        </w:rPr>
        <w:t>E. 3</w:t>
      </w:r>
    </w:p>
    <w:p>
      <w:r>
        <w:t>a) Qualifiant la mesure infligée de disproportionnée, le recourant soutient qu'en dépit de ses précédentes infractions graves, sa dangerosité demeure relative, voire théorique dès lors qu'il n'a jamais subi d'accident de la circulation. Il relève n'avoir dépassé que de 2 km/h la vitesse limite séparant les infractions graves des infractions moyennement graves et souligne que tous ses excès de vitesse ont été commis au guidon d'un motocycle. Retenant qu'il est notoire que ce type d'engin accélère beaucoup plus vite qu'une voiture, mais qu'il permet également des freinages plus nets, le recourant en déduit qu'il ne conduit pas son véhicule à des vitesses telles qu'un arrêt d'urgence serait impossible. Monteur-électricien, il se prévaut en outre d'un besoin professionnel de conduire pour se rendre sur des chantiers, parfois éloignés et mal desservis par les transports publics, et fait valoir que ses revenus ne lui permettent pas de parer aux conséquences du retrait de permis infligé. A cet égard, il relève que lors de ses précédents retraits de permis, il avait dû cesser de travailler et quitter la Suisse pour un pays où le coût de la vie était moindre pour assurer sa subsistance. Ne disposant pas des ressources nécessaires lui permettant de " s'exiler " durant deux ans, il conviendrait selon lui de prononcer un retrait de permis d'une durée inférieure au seuil prévu. b) En l'espèce, l'excès de vitesse de 26 km/h (marge de sécurité déduite) commis par le recourant en localité le 6 septembre 2009 constitue, eu égard à la jurisprudence précitée, une infraction grave au sens de l'art. 16c al. 1 let. a LCR. Dès lors qu'il s'est déjà vu retirer son permis de conduire à trois reprises en raison d'infractions graves au cours des dix dernières années (décisions du SAN des 9 juin 2008, 10 mars 2008 et 23 août 2005, cette dernière décision sanctionnant en particulier un excès de vitesse de 28 km/h en localité), cette infraction doit entraîner, conformément à l'art. 16c al. 2 let. d LCR, un retrait de permis pour une durée indéterminée, mais au minimum de vingt-quatre mois. Le recourant ne remplissant de surcroît pas la condition prévue à l'art. 16c al. 2 let. d in fine LCR, l'autorité intimée ne pouvait renoncer à une telle mesure. Les arguments invoqués ne constituent pas des circonstances particulières permettant de considérer le cas comme de moindre gravité. Si seuls 2 km/h séparent en effet l'infraction commise le 6 septembre 2009 de la qualification de moyennement grave, le recourant perd de vue qu'une marge de sécurité de 5 km/h a déjà été déduite de la vitesse constatée par radar. A cela s'ajoute que les seuils fixés par la jurisprudence pour distinguer le cas de peu de gravité, de moyenne gravité et le cas grave tiennent compte de la nature particulière du danger représenté pour les autres usagers de la route selon l'endroit où a été commis l'excès de vitesse et n'ont, comme relevé précédemment, pas été établis à la légère (cf. consid. 2d). Il ne prétend du reste pas qu'il aurait pu douter qu'il se trouvait dans une localité, qu'il aurait été empêché de voir la signalisation en raison d'un obstacle visuel particulier , ni même que cette signalisation aurait été confuse. On relèvera encore qu'il appartient à tout conducteur de maîtriser son véhicule, quel qu'il soit; il est à cet égard étonnant de constater que pleinement conscient de la plus grande capacité d'accélération de son motocycle, le recourant persiste à ne pas tenir compte de ce paramètre dans sa manière de conduire. Il ne saurait enfin rien déduire en sa faveur d'une prétendue absence d'accident à ce jour. c ) A insi, aucune circonstance particulière justifiant de renoncer à un retrait du permis de conduire sur la base de l'art. 16c al. 2 let. a LCR ne peut être retenue en l'espèce et c'est dès lors à bon droit que l'autorité intimée a prononcé cette mesure. Reste encore à en examiner la durée. L’autorité intimée s'est en l'espèce conformée au minimum légal, en prononçant une mesure de retrait du permis de conduire pour une durée indéterminée, mais au minimum de vingt-quatre mois. Partant, les besoins professionnels invoqués par le recourant ne peuvent être pris en compte. Au demeurant, il apparaît que les lourdes conséquences aux plans professionnel et financier dont il se prévaut, et qu'il a déjà été amené à subir à plusieurs reprises, ne l'ont manifestement pas incité à modifier son comportement sur les routes. Ce ne sont ainsi pas moins de six retraits de permis, qui sont autant d'avertissements successifs, qui ont été prononcés entre 1999 et 2008, dont deux sanctionnant des infractions graves commises à seulement huit mois d'intervalle. Quant à la dernière infraction grave du 6 septembre 2009, à l'origine de la présente procédure, elle a été commise à peine six mois après l'échéance du précédent retrait au 5 mars 2009. La décision attaquée ne prête par conséquent pas flanc à la critique sous l'angle de sa proportionnalité. Selon l'art. 17 al. 3 LCR, le permis de conduire retiré pour une durée indéterminée peut être restitué à certaines conditions après expiration d'un éventuel délai d'attente légal ou prescrit si la personne concernée peut prouver que son aptitude à la conduite a disparu. En l'occurrence, la condition fixée pour la restitution du permis de conduire (conditions favorables d'une expertise auprès de l'UMPT) doit également être confirmée en tant qu'elle s'avère adéquate pour s'assurer que l'inaptitude du recourant à la conduite a disparu et qu'il a pris conscience de la dangerosité de son comportement.</w:t>
      </w:r>
    </w:p>
    <w:p>
      <w:r>
        <w:rPr>
          <w:b/>
        </w:rPr>
        <w:t>E. 4</w:t>
      </w:r>
    </w:p>
    <w:p>
      <w:r>
        <w:t>Les considérants qui précèdent conduisent au rejet du recours et à la confirmation de la décision attaquée. Le recourant, qui succombe, supportera les frais de justice et n'a au surplus pas droit à des dépens (art. 49, 55, 91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