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CR.2010.0013 vom 7. Juni 2010</w:t>
      </w:r>
    </w:p>
    <w:p>
      <w:r>
        <w:t>VD Tribunal cantonal, 2010-06-07, FR</w:t>
      </w:r>
    </w:p>
    <w:p>
      <w:r>
        <w:rPr>
          <w:b/>
        </w:rPr>
        <w:t xml:space="preserve">Quelle: </w:t>
      </w:r>
      <w:r>
        <w:t>https://mcp.opencaselaw.ch/entscheid/vd_omni_CR.2010.0013</w:t>
      </w:r>
    </w:p>
    <w:p>
      <w:r>
        <w:t>FR: VD_OMNI CR.2010.0013 du 7 juin 2010</w:t>
      </w:r>
    </w:p>
    <w:p>
      <w:r>
        <w:t>IT: VD_OMNI CR.2010.0013 del 7 giugno 2010</w:t>
      </w:r>
    </w:p>
    <w:p>
      <w:pPr>
        <w:pStyle w:val="Heading2"/>
      </w:pPr>
      <w:r>
        <w:t>Regeste</w:t>
      </w:r>
    </w:p>
    <w:p>
      <w:r>
        <w:t>X.________ c/Service des automobiles et de la navigation | Confirmation d'un retrait de permis d'une durée de douze mois. Excès de vitesse de 30 km/h en localité. Récidive.</w:t>
      </w:r>
    </w:p>
    <w:p>
      <w:pPr>
        <w:pStyle w:val="Heading2"/>
      </w:pPr>
      <w:r>
        <w:t>Erwägungen</w:t>
      </w:r>
    </w:p>
    <w:p>
      <w:r>
        <w:rPr>
          <w:b/>
        </w:rPr>
        <w:t>E. 1</w:t>
      </w:r>
    </w:p>
    <w:p>
      <w:r>
        <w:t>a) Aux termes de l'art. 16 al. 2 de la loi fédérale du 19 décembre 1958 sur la circulation routière (LCR ; RS 741.01) lorsque la procédure prévue par la loi fédérale du 24 juin 1970 sur les amendes d’ordre (LAO; RS 741.03) n’est pas applicable, une infraction aux prescriptions sur la circulation routière entraîne le retrait du permis d’élève conducteur ou du permis de conduire ou un avertissement.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b) La loi fait la distinction entre les cas de peu de gravité (art. 16a LCR), les cas de gravité moyenne (art. 16b LCR) et les cas graves (art. 16c LCR). Commet une infraction légère la personne qui, en violant les règles de la circulation routière, met légèrement en danger la sécurité d’autrui et à laquelle seule une faute bénigne peut être imputée (art. 16a al. 1 let. a LCR). Commet également une infraction légère la personne qui conduit un véhicule automobile en état d’ébriété sans pour autant présenter un taux d’alcoolémie qualifié (art. 55, al. 6) et qui, ce faisant, ne commet pas d’autres infractions aux règles de la circulation routière (art. 16a al. 1 let. b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a LCR). Toutefois, si dans les cinq années précédentes, le permis avait déjà été retiré une fois en raison d'une infraction grave, ou à deux reprises, en raison d'infractions moyennement graves, le permis est retiré pour douze mois au minimum (Art. 16c al. 2 let. d LCR). c) Afin d’assurer l’égalité de traitement entre les conducteurs, la jurisprudence a été amenée à fixer des règles précises dans le domaine des excès de vitesse (voir, pour un récent récapitulatif l'ATF 1C_83/2008 du 16 octobre 2008 ainsi que l’ATF 1C_216/2009 du 14 septembre 2009 consid. 5.2). Le cas est objectivement grave, c'est-à-dire sans égard aux circonstances concrètes ou encore à la bonne réputation du conducteur, en cas de dépassement de la vitesse autorisée de 25 km/h ou plus à l'intérieur des localités, de 30 km/h ou plus hors des localités et sur les semi-autoroutes dont les chaussées, dans les deux directions, ne sont pas séparées et de 35 km/h ou plus sur les autoroutes (ATF 124 II 259 consid. 2b). Il est en revanche de moyenne gravité lorsque le dépassement de la vitesse autorisée est, respectivement, de 21 à 24 km/h (ATF 126 II 196 consid. 2a), de 26 à 29 km/h et de 31 à 34 km/h (ATF 128 II 131 consid. 2). Ces chiffres s'appliquent lorsque les conditions de circulation sont favorables et que le conducteur jouit d'une bonne réputation en tant qu'automobiliste; il n'est dès lors nullement exclu de faire preuve d'une sévérité plus grande en fonction des circonstances concrètes (ATF 1C_81/2007 du 31 octobre 2007, consid. 4 ; 124 II 475 consid. 2a). Une moindre sévérité peut être justifiée par des circonstances exceptionnelles, telles que celles susceptibles d'entraîner une application analogique de l'art. 66bis CP (actuellement art. 54 CP) ou une erreur compréhensible sur la vitesse autorisée (ATF 124 II 475; 126 II 196; cf. aussi Cédric Mizel, Les nouvelles dispositions légales sur le retrait du permis de conduire, RDAF 2004 I, p. 384 s). d)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 sur une sortie d'autoroute, en dehors des localités ou à l'intérieur des localités. Ils n'ont pas été fixés à la légère, mais reposent sur les considérations d'un collège d'experts mandatés par la Cour de cassation pénale du Tribunal fédéral. Ces derniers ont ainsi relevé que les excès de vitesse représentent une importante source de dangers à l'intérieur des localités. Les conducteurs doivent en effet gérer un plus grand nombre de paramètres que sur les routes principales situées en dehors des localités ou sur une autoroute, ce qui exige d'eux une attention plus soutenue. Par ailleurs, on rencontre à l'intérieur des localités de nombreux usagers de la route, tels que des enfants, des personnes âgées ou encore des cyclistes, qui sont exposés à un danger particulier en raison de leur vulnérabilité. Il existe en outre un risque plus élevé de collisions latérales avec d'autres véhicules automobiles débouchant d'artères secondaires. Ces considérations demeurent pleinement valables aujourd'hui; en effet, si les dépassements de la vitesse maximale autorisée ont connu une tendance à la baisse au cours de la dernière décennie, ils constituent néanmoins toujours la principale cause des accidents de la route et des retraits de permis de conduire, selon le rapport SINUS 2007 du Bureau de prévention des accidents et la statistique des mesures administratives frappant les conducteurs de véhicules établie par l'Office fédéral des routes (ATF 1C_83/2008 du 16 octobre 2008 consid. 2.5). e) Les circonstances personnelles ne peuvent être prises en considération que pour décider de la durée du retrait, et non de la mesure elle-même, dont le prononcé est subordonné aux critères fixés par la loi et la jurisprudence. Aussi a-t-il été jugé à maintes reprises que la bonne réputation du conducteur ou le besoin professionnel qu'il a de son permis ne peuvent être pris en compte que pour fixer la durée du retrait, le choix de la mesure devant, lui, se faire en fonction de la gravité du cas d'espèce. Dans les cas d'application de l'art. 16c LCR, il n'est pas possible, même dans des circonstances particulières, de retirer le permis de conduire pour une durée inférieure aux durées minimales prévues par cette disposition (ATF 6A.100/2006 du 28 mars 2007 consid. 4 et 132 II 234 consid. 2). En effet, selon la jurisprudence du Tribunal fédéral, la règle de l'art. 16 al.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concernant la modification de la LCR du 31 mars 1999, FF 1999 IV 4131; ATF 132 II 234 consid. 2.3). Cette volonté d'uniformité, clairement exprimée par le législateur, s'oppose ainsi à l'introduction de nouvelles exceptions par voie d'interprétation en faveur des conducteurs pour lesquels l'usage d'un véhicule adapté à leur handicap compense des difficultés de mobilité physiques, tels que les paraplégiques (arrêt 6A.38/2006 du 7 septembre 2006 consid. 3 résumé in JdT 2006 I 412). De même, elle exclut la possibilité ouverte par la jurisprudence, sous l'ancien droit, de réduire la durée minimale du retrait du permis, voire de renoncer à toute sanction en cas de faute particulièrement peu grave (arrêt 6A.61/2006 du 23 novembre 2006 consid. 4.3 et 4.5 résumés in JdT 2007 I 502; voir pour une récapitulation générale ATF 1C_83/2008 précité).</w:t>
      </w:r>
    </w:p>
    <w:p>
      <w:r>
        <w:rPr>
          <w:b/>
        </w:rPr>
        <w:t>E. 2</w:t>
      </w:r>
    </w:p>
    <w:p>
      <w:r>
        <w:t>a) En l’espèce, le recourant a commis un excès de vitesse de 30 km/h en localité. Il s’est prévalu de la nécessité professionnelle de son permis, sa situation professionnelle risquant d’être très gravement affectée par un retrait de permis de douze mois, qui pourrait conduire à son licenciement. b) À la lumière de la jurisprudence précitée, un dépassement de la vitesse autorisée en localité de 26 km/h (marge de sécurité déduite) constitue un cas objectivement grave au sens de l'art. 16c al. 1 let. a LCR, devant entraîner, conformément à l'art. 16c al. 2 let. c LCR, un retrait pour douze mois au minimum, dans la mesure où le permis du recourant avait été retiré à une reprises en raison d’infraction grave au cours des cinq années précédentes. Les arguments invoqués ne constituent pas des circonstances particulières permettant de considérer le cas comme de moindre gravité. En effet, le recourant n'avait aucun motif de douter qu’il se trouvait dans une localité ; il ne prétend d’ailleurs pas le contraire. Il ne saurait être suivi dans son argumentation relative à la proximité du radar avec le panneau annonçant la levée de la restriction de vitesse à 50 km/h. c) Ainsi, aucune circonstance particulière justifiant de renoncer à un retrait du permis de conduire sur la base de l'art. 16c al. 2 let. a LCR ne peut être retenue en l'espèce et c'est dès lors à bon droit que l'autorité intimée a prononcé cette mesure. Reste encore à en examiner la durée. S’agissant de la durée de la mesure de retrait, l’autorité intimée s'est conformée au minimum légal, en prononçant une mesure de retrait du permis de conduire d’une durée minimale de douze mois, afin de tenir compte de la situation professionnelle de X.________. Compte tenu de la jurisprudence précitée, il n’est pas possible de s’écarter du minimum légal. 7.                Les considérants qui précèdent conduisent au rejet du recours aux frais du recourant (art. 49 LPA-VD) et à la confirmation de la décision entreprise.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