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CR.2010.0009 vom 7. Mai 2010</w:t>
      </w:r>
    </w:p>
    <w:p>
      <w:r>
        <w:t>VD Tribunal cantonal, 2010-05-07, FR</w:t>
      </w:r>
    </w:p>
    <w:p>
      <w:r>
        <w:rPr>
          <w:b/>
        </w:rPr>
        <w:t xml:space="preserve">Quelle: </w:t>
      </w:r>
      <w:r>
        <w:t>https://mcp.opencaselaw.ch/entscheid/vd_omni_CR.2010.0009</w:t>
      </w:r>
    </w:p>
    <w:p>
      <w:r>
        <w:t>FR: VD_OMNI CR.2010.0009 du 7 mai 2010</w:t>
      </w:r>
    </w:p>
    <w:p>
      <w:r>
        <w:t>IT: VD_OMNI CR.2010.0009 del 7 maggio 2010</w:t>
      </w:r>
    </w:p>
    <w:p>
      <w:pPr>
        <w:pStyle w:val="Heading2"/>
      </w:pPr>
      <w:r>
        <w:t>Regeste</w:t>
      </w:r>
    </w:p>
    <w:p>
      <w:r>
        <w:t>X.________/Service des automobiles et de la navigation | Excès de vitesse commis en France, ayant entraîné les autorités françaises à saisir le permis de conduire du recourant, à prononcer l'interdiction temporaire de conduire "en France" pendant quatre mois et à restituer le permis trois mois après l'infraction. La période de trois mois pendant laquelle le recourant ne possédait plus son document ne peut être d'emblée déduite de la durée du retrait de permis à prononcer par le SAN pour la même infraction. En effet, le dépôt d'un permis suisse en mains d'autorités étrangères ne prive pas le titulaire du droit de conduire "en Suisse", et un duplicata peut être obtenu. Le simple fait de renoncer à conduire en Suisse ne vaut pas exécution anticipée d'un retrait de permis de conduire suisse, sauf restitution volontaire au sens de l'art. 32 OAC.</w:t>
      </w:r>
    </w:p>
    <w:p>
      <w:pPr>
        <w:pStyle w:val="Heading2"/>
      </w:pPr>
      <w:r>
        <w:t>Erwägungen</w:t>
      </w:r>
    </w:p>
    <w:p>
      <w:r>
        <w:rPr>
          <w:b/>
        </w:rPr>
        <w:t>E. 1</w:t>
      </w:r>
    </w:p>
    <w:p>
      <w:r>
        <w:t>Après une infraction commise à l'étranger, le permis d'élève conducteur ou le permis de conduire est retiré aux conditions suivantes: a.     une interdiction de conduire a été prononcée à l'étranger; b.    l'infraction commise est qualifiée de moyennement grave ou de grave en vertu des art. 16b et 16c.</w:t>
      </w:r>
    </w:p>
    <w:p>
      <w:r>
        <w:rPr>
          <w:b/>
        </w:rPr>
        <w:t>E. 2</w:t>
      </w:r>
    </w:p>
    <w:p>
      <w:r>
        <w:t>Les Parties contractantes s’efforceront de faire notifier aux intéressés les décisions qui leur auront été communiquées conformément à la procédure visée au paragraphe 1, alinéa d, du présent article.</w:t>
      </w:r>
    </w:p>
    <w:p>
      <w:r>
        <w:rPr>
          <w:b/>
        </w:rPr>
        <w:t>E. 3</w:t>
      </w:r>
    </w:p>
    <w:p>
      <w:r>
        <w:t>Le recourant invoque en second lieu le principe de la bonne foi. Il affirme avoir cherché à se renseigner auprès des autorités suisses sur le maintien de son droit de conduire en Suisse en dépit de la saisie de son permis par les autorités françaises, sans avoir obtenu de réponse claire. C'est pourquoi il avait estimé prudent de renoncer à conduire en Suisse. Vu la clarté de l'intitulé de la décision du 19 juin 2009 des autorités françaises (interdiction de conduire " en France "), le recourant ne pouvait pas se méprendre sur la portée de celle-ci, limitée au territoire français. De surcroît, le dossier n'établit nullement la réalité des démarches que le recourant auraient tentées en vue de s'informer, ni leur résultat. Le recourant ne démontre pas, en particulier, qu'une autorité compétente lui aurait assuré qu'il devait s'abstenir de conduire en Suisse en raison de la saisie de son permis par une autorité étrangère. Ce moyen doit ainsi être écarté.</w:t>
      </w:r>
    </w:p>
    <w:p>
      <w:r>
        <w:rPr>
          <w:b/>
        </w:rPr>
        <w:t>E. 4</w:t>
      </w:r>
    </w:p>
    <w:p>
      <w:r>
        <w:t>Les considérants qui précèdent conduisent au rejet du recours aux frais du recourant (art. 49 LPA-VD). Vu l'issue du pourvoi, le SAN est chargé de fixer un nouveau délai d'exécution de la mesure et de veiller à l'exécution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