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CR.2009.0078 vom 16. Juni 2010</w:t>
      </w:r>
    </w:p>
    <w:p>
      <w:r>
        <w:t>VD Tribunal cantonal, 2010-06-16, FR</w:t>
      </w:r>
    </w:p>
    <w:p>
      <w:r>
        <w:rPr>
          <w:b/>
        </w:rPr>
        <w:t xml:space="preserve">Quelle: </w:t>
      </w:r>
      <w:r>
        <w:t>https://mcp.opencaselaw.ch/entscheid/vd_omni_CR.2009.0078</w:t>
      </w:r>
    </w:p>
    <w:p>
      <w:r>
        <w:t>FR: VD_OMNI CR.2009.0078 du 16 juin 2010</w:t>
      </w:r>
    </w:p>
    <w:p>
      <w:r>
        <w:t>IT: VD_OMNI CR.2009.0078 del 16 giugno 2010</w:t>
      </w:r>
    </w:p>
    <w:p>
      <w:pPr>
        <w:pStyle w:val="Heading2"/>
      </w:pPr>
      <w:r>
        <w:t>Regeste</w:t>
      </w:r>
    </w:p>
    <w:p>
      <w:r>
        <w:t>X.________ c/Service des automobiles et de la navigation | Conducteur inapte à la conduite automobile du fait d'une dépendance à l'alcool. Décision du SAN prononçant le retrait de sécurité du permis de conduire et en subordonnant la restitution aux conclusions favorables d'une expertise auprès de l'UMPT. Recours admis très partiellement en ce sens que le SAN est prié de mettre lui-même en oeuvre, dès notification de l'arrêt, l'expertise auprès de l'UMPT.</w:t>
      </w:r>
    </w:p>
    <w:p>
      <w:pPr>
        <w:pStyle w:val="Heading2"/>
      </w:pPr>
      <w:r>
        <w:t>Erwägungen</w:t>
      </w:r>
    </w:p>
    <w:p>
      <w:r>
        <w:rPr>
          <w:b/>
        </w:rPr>
        <w:t>E. 1</w:t>
      </w:r>
    </w:p>
    <w:p>
      <w:r>
        <w:t>Est litigieuse la question de savoir si c'est à juste titre que le SAN a prononcé le retrait de sécurité du permis de conduire du recourant et en a subordonné la restitution aux conclusions favorables d'une expertise auprès de l'UMPT. Selon l’art. 16d let. a LCR, le permis de conduire est retiré pour une durée indéterminée à la personne dont les aptitudes physiques et psychiques ne lui permettent pas ou plus de conduire avec sûreté un véhicule automobile a) Le recourant conteste le bien-fondé de la mesure prononcée par le SAN en faisant valoir que son état de santé s'est amélioré depuis l'examen neurologique effectué le 18 juin 2009 par le Dr Z.________. b) Au vu du rapport établi par ce spécialiste, il est établi qu'en juin 2009 le recourant présentait des troubles importants liés à une démence débutante, probablement d'origine alcoolique, et que ces troubles le rendaient inapte à conduire un véhicule automobile. C'est dès lors à juste titre que le SAN a prononcé le retrait du permis de conduire de l'intéressé en application de l'art. 16d let. a LCR. Cependant, dès lors qu'il n'est pas totalement exclu que l'état de santé du recourant ait pu présenter une amélioration par la suite, dans la mesure où, comme il le prétend, il aurait cessé ou fortement diminué sa consommation d'alcool, il apparaît justifié de mettre en œuvre une expertise afin d'établir s'il continue à présenter des troubles le rendant inapte à conduire. Dans la mesure où l'effet suspensif, conformément à l'art. 80 al. 1 de la loi vaudoise du 28 octobre 2008 sur la procédure administrative (LPA; RSV 172.36), a été accordé au recours, que la levée de cette mesure n'a pas été requise et que le recourant n'a pas fourni de preuve concrète de l'amélioration de son état de santé, il se justifie, pour des motifs de sécurité, de mettre en œuvre l'expertise après que le recourant aura déposé son permis de conduire. c) Le recourant demande que cette expertise soit effectuée par un gérontologue. Or, au vu des troubles dont fait état le Dr Z.________, ça n'est pas à un tel spécialiste, qui, par définition, n'est pas neurologue et n'a probablement pas d'expérience de la médecine du trafic, qu'il convient de la confier, mais plutôt à une institution médicale pluridisciplinaire comme l'UMPT. d) S'agissant de la requête du recourant de se soumettre à une course de contrôle (en lieu et place de l'expertise ou en complément), on relèvera que cette mesure d'instruction - prévue par l'art. 29 al. 1 de l'ordonnance du Conseil fédéral du 27 octobre 1976 réglant l'admission des personnes et des véhicules à la circulation routière (OAC; RS 741.51) pour déterminer les mesures à prendre si l'aptitude d'un conducteur à conduire un véhicule automobile soulève des doutes - n'est adéquate qu'en l'absence d'indice d'un problème médical spécifique (ATF du 9 janvier 2008 1C_422/2007; ATF du 4 septembre 2006 6A.44/2006). Ce qui n'est pas le cas en l'espèce. On peut cependant relever que le recourant sera soumis, à l'UMPT, à de multiples tests, en particulier à un simulateur de conduite. e) Il ressort de ce qui précède que le retrait de sécurité du permis de conduire du recourant prononcé en application de l'art. 16d let. a LCR doit être confirmé mais que le recours doit être très partiellement admis et la décision attaquée très partiellement réformée en ce sens que le SAN est prié de mettre lui-même en œuvre, dès la notification du présent arrêt, une expertise auprès de l'UMPT afin d'établir si le recourant présente toujours des troubles justifiant le retrait de sécurité de son permis de conduire et, le cas échéant, à quelles conditions la restitution du droit de conduire doit être subordonnée.</w:t>
      </w:r>
    </w:p>
    <w:p>
      <w:r>
        <w:rPr>
          <w:b/>
        </w:rPr>
        <w:t>E. 2</w:t>
      </w:r>
    </w:p>
    <w:p>
      <w:r>
        <w:t>Le recourant conteste devoir s'acquitter des frais de la décision du 23 septembre 2009, par 200 francs. a) Aux termes de l'art. 23 let. b du règlement du 7 juillet 2004 sur les émoluments perçus par le SAN (RE-SAN; RSV 741.15.1), la décision de retrait du permis de conduire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Pour le surplus, dans un arrêt FI.1998.0068 du 13 octobre 1998, le Tribunal administratif, saisi d'un recours dirigé contre la taxe prévue par l'art. 4 du règlement du 11 décembre 1996 sur les émoluments et le tarif des autorisations perçus par le Service des automobiles (règlement abrogé et remplacé par le RESA du 7 juillet 2004, cf. art. 40 RESA), a jugé, au terme d'une analyse détaillée, que cet émolument respectait, conformément au droit fédéral, les deux principes dérivés du principe de la proportionnalité: celui de la couverture des frais, d'une part, et celui de l'équivalence, d'autre part (cf. Moor, Droit administratif, vol. III, no 7.2.4.3; arrêt confirmé dans FI.2004.0121 du 1 er mars 2005, cf. aussi ATF 106 Ia 241, consid. 3b et arrêt TA CR.2005.0392). b) Le rappel des principes qui précède conduit à constater qu’un émolument est dû pour l’intervention justifiée de l’autorité intimée, et que le montant de cet émolument est conforme au règlement.</w:t>
      </w:r>
    </w:p>
    <w:p>
      <w:r>
        <w:rPr>
          <w:b/>
        </w:rPr>
        <w:t>E. 3</w:t>
      </w:r>
    </w:p>
    <w:p>
      <w:r>
        <w:t>Vu que le recourant obtient très partiellement gain de cause dans la présente procédure de recours, il convient de mettre à sa charge des frais très partiellement réduits, à concurrence de 400 francs, mais de ne pas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