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CR.2009.0070 vom 4. Februar 2010</w:t>
      </w:r>
    </w:p>
    <w:p>
      <w:r>
        <w:t>VD Tribunal cantonal, 2010-02-04, FR</w:t>
      </w:r>
    </w:p>
    <w:p>
      <w:r>
        <w:rPr>
          <w:b/>
        </w:rPr>
        <w:t xml:space="preserve">Quelle: </w:t>
      </w:r>
      <w:r>
        <w:t>https://mcp.opencaselaw.ch/entscheid/vd_omni_CR.2009.0070</w:t>
      </w:r>
    </w:p>
    <w:p>
      <w:r>
        <w:t>FR: VD_OMNI CR.2009.0070 du 4 février 2010</w:t>
      </w:r>
    </w:p>
    <w:p>
      <w:r>
        <w:t>IT: VD_OMNI CR.2009.0070 del 4 febbraio 2010</w:t>
      </w:r>
    </w:p>
    <w:p>
      <w:pPr>
        <w:pStyle w:val="Heading2"/>
      </w:pPr>
      <w:r>
        <w:t>Regeste</w:t>
      </w:r>
    </w:p>
    <w:p>
      <w:r>
        <w:t>X.________ c/Service des automobiles et de la navigation | Recours rejeté contre le retrait du permis de conduire pour une durée d'un mois pour avoir effectué des dépassements par la droite sur l'autoroute; infraction moyennement grave; le fait de déboîter et de se rabattre n'est pas indispensable pour qualifier la manoeuvre de dépassement par la droite, et il n'y a pas de motif justifiant de remettre en cause l'état de fait constaté par la police, non contesté par le recourant devant le juge pénal, selon lequel la circulation ne s'effectuait pas en files parallèles.</w:t>
      </w:r>
    </w:p>
    <w:p>
      <w:pPr>
        <w:pStyle w:val="Heading2"/>
      </w:pPr>
      <w:r>
        <w:t>Erwägungen</w:t>
      </w:r>
    </w:p>
    <w:p>
      <w:r>
        <w:rPr>
          <w:b/>
        </w:rPr>
        <w:t>E. 1</w:t>
      </w:r>
    </w:p>
    <w:p>
      <w:r>
        <w:t>a) Selon l'art. 35 al. 1 de la loi fédérale du 19 décembre 1958 sur la circulation routière (LCR; RS 741.01), les dépassements se font à gauche, ce qui implique une interdiction des dépassements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133 II 58 consid. 4 p. 59; 126 IV 192 consid. 2a p. 194; 115 IV 244 consid. 2; 114 IV 55 consid. 1). Il n'en va différemment que lorsqu'il s'agit, sur route (art. 8 al. 3 de l'ordonnance fédérale du 13 novembre 1962 sur les règles de la circulation routière; OCR, RS 741.11)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115 IV 244 consid. 2 et 3). b) Selon la jurisprudence, l'interdiction de dépasser par la droite constitue une règle fondamentale de sécurité routière, dont la violation entraîne une mise en danger considérable, avec un risque d'accident important, et s'avère donc objectivement grave. Les usagers doivent en effet pouvoir être certains qu'ils ne seront pas dépassés par la droite. En particulier, le dépassement par la droite sur une autoroute, où les vitesses sont élevées, représente une grave mise en danger abstraite des autres usagers; ceux-ci peuvent en effet être surpris par la manœuvre et amenés à un freinage intempestif ou à un brusque écart lorsqu'ils désirent se ranger sur la voie de droite (ATF 128 II 285 consid. 1; 126 IV 192 consid. 3 p. 196; 95 IV 84 consid. 3). Il ne suffit toutefois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(ATF 6A.15/1992 du 24 mars 1992 dans la cause cantonale CR.1991.0215). c) En l’espèce et au regard de ces principes, dont il n’y a pas lieu de s’écarter, la manœuvre opérée par le recourant doit être qualifiée de dépassement par la droite. En effet, il n’est pas nécessaire de déboîter et de se rabattre pour qualifier la manœuvre de dépassement par la droite. Le recourant n'a d'ailleurs pas indiqué que les véhicules dépassés circulaient trop lentement, et il ne semble donc pas que l’on se trouve dans le cas du véhicule qui rattrape progressivement un véhicule circulant et occupant trop longtemps la file de gauche, soit en l’espèce, la deuxième voie de dépassement. Le recourant soutient toutefois que la circulation s’effectuait en files parallèles le jour concerné. Il est vrai que, selon le rapport de police du 8 juin 2009, le trafic était dense, mais le même rapport mentionne également que cela ne signifiait pas pour autant que la circulation s’effectuait en files parallèles. La jurisprudence fait une distinction entre un trafic dense, et le trafic en files parallèles, qui implique un trafic intense sur les deux voies de circulation. La limite entre le trafic dense et le trafic intense sur plusieurs voies n’est probablement pas facile à tracer, spécialement lors des phases de transition, c’est-à-dire lorsqu’un trafic dense est en passe de devenir un trafic intense sur les voies de circulation, provoquant une circulation en files parallèles. Mais la circulation en files parallèles se caractérise par une réduction de la vitesse provoquée par la saturation de la capacité autoroutière, et le recourant ne prétend pas non plus avoir été pris dans une file ayant provoqué un ralentissement. Dans ces conditions, il n’y a pas de motif de remettre en cause l’état de fait constaté par la police. Par ailleurs, le recourant n’a pas contesté valablement l’ordonnance pénale du 29 juillet 2009, par laquelle il a été condamné pour avoir effectué plusieurs dépassements par la droite. Le recourant a ainsi bel et bien enfreint l'art. 35 al. 1 LCR.</w:t>
      </w:r>
    </w:p>
    <w:p>
      <w:r>
        <w:rPr>
          <w:b/>
        </w:rPr>
        <w:t>E. 2</w:t>
      </w:r>
    </w:p>
    <w:p>
      <w:r>
        <w:t>a)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comme en l'espèce,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b) En l’occurrence, le rapport dressé par la police le 8 juin 2009, sur lequel s’est fondé le prononcé pénal, ne contient pas d’inexactitudes ou de contradictions manifestes, ni même d’ambiguïtés particulières. Conformément à la jurisprudence rappelée ci-dessus, le recourant qui entendait contester ces faits devait le faire dans le cadre de la procédure pénale, fût-elle sommaire. Il n’y a, par conséquent, pas de place pour une nouvelle instruction à ce sujet, et l'allégation du recourant selon laquelle la circulation s'effectuait en files parallèles ne permet pas de revenir sur les constatations figurant dans le rapport de police (cf. ATF 1C_93/2008 du 2 juillet 2008, consid. 2.1 et 2.2). Le fait que le recourant n’ait pas pu faire valoir ses moyens de défense uniquement parce que son opposition a été jugée irrecevable ne modifie en rien la situation. En effet, il n’en demeure pas moins que le prononcé pénal est en force, et qu’il n’y a aucun motif justifiant de le remettre en cause. Le recourant a par ailleurs été averti par l'autorité intimée le 6 août 2009 que la procédure administrative était suspendue dans l'attente de l'issue pénale, et que l'état de fait retenu était celui qui serait établi par le juge pénal. L'autorité intimée a dès lors attiré l'attention du recourant sur le fait qu'il lui incombait de faire valoir ses arguments auprès de l'autorité pénale compétente. Le recourant, dûment averti, ne peut ainsi se plaindre de ne pas avoir saisi la portée de l'ordonnance pénale.</w:t>
      </w:r>
    </w:p>
    <w:p>
      <w:r>
        <w:rPr>
          <w:b/>
        </w:rPr>
        <w:t>E. 3</w:t>
      </w:r>
    </w:p>
    <w:p>
      <w:r>
        <w:t>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 En l’espèce, l’autorité intimée a qualifié la faute du recourant de moyennement grave en application de l’art. 16b al. 1 let. a LCR. Il faut rappeler à cet égard que le dépassement par la droite constitue en règle générale une violation grave d'une règle de la circulation routière. La faute du conducteur ne peut dès lors, en tous les cas, pas être considérée comme un cas de peu de gravité, entraînant un simple avertissement. En circulant sur l’autoroute, le conducteur ne s’attend pas à être dépassé par la droite et la manœuvre est de nature à provoquer des dangers par la surprise qu’elle peut occasionner, spécialement dans la phase de dépassement où le véhicule qui dépasse peut être caché du champ de vision par l’angle mort du rétroviseur. Il n’y a donc en l’occurrence aucun motif de qualifier différemment la faute du recourant, qui n’apparaît pas bénigne. Il faut rappeler à cet égard que le fait de déboîter et de se rabattre n’est pas indispensable pour qualifier la manœuvre de dépassement. Le recourant a dépassé par la droite deux véhicules sur l'autoroute, et il n'est pas établi que ces derniers roulaient à une vitesse insuffisante ou que la circulation s'effectuait en files parallèles, de sorte que les conditions de l’art. 16b al. 1 let. a LCR sont réunies. Après une infraction moyennement grave, le permis de conduire est retiré pour un mois au minimum (art. 16b al. 2 let. a LCR). La durée minimale du retrait ne pouvant être réduite (art. 16 al. 3 2 ème phrase LCR), le tribunal ne peut tenir compte des circonstances invoquées par le recourant en relation avec son emploi, puisque l’autorité intimée a fixé la durée du retrait du permis de conduire du recourant à un mois, ce qui correspond au minimum légal.</w:t>
      </w:r>
    </w:p>
    <w:p>
      <w:r>
        <w:rPr>
          <w:b/>
        </w:rPr>
        <w:t>E. 4</w:t>
      </w:r>
    </w:p>
    <w:p>
      <w:r>
        <w:t>Le recourant requiert la tenue d’une audience, afin d’entendre deux témoins qui le précédaient sur l’autoroute le jour du contrôle litigieux. a)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le tribunal ne voit pas l’utilité d’entendre les témoins requis par le recourant. Il n’y a en effet aucun motif justifiant de remettre en cause les constatations consignées dans le rapport de police du 8 juin 2009, duquel il ressort que la circulation ne s’effectuait pas en files parallèles. Il convient dès lors de rejeter la requête d’audience formée par le recourant.</w:t>
      </w:r>
    </w:p>
    <w:p>
      <w:r>
        <w:rPr>
          <w:b/>
        </w:rPr>
        <w:t>E. 5</w:t>
      </w:r>
    </w:p>
    <w:p>
      <w:r>
        <w:t>Il résulte des considérants qui précèdent que le recours doit être rejeté et la décision attaquée confirmée. Au vu de ce résultat, les frais de justice sont mis à la charge du recourant (art. 49 al. 1 LPA-VD).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