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CR.2009.0067 vom 9. März 2010</w:t>
      </w:r>
    </w:p>
    <w:p>
      <w:r>
        <w:t>VD Tribunal cantonal, 2010-03-09, FR</w:t>
      </w:r>
    </w:p>
    <w:p>
      <w:r>
        <w:rPr>
          <w:b/>
        </w:rPr>
        <w:t xml:space="preserve">Quelle: </w:t>
      </w:r>
      <w:r>
        <w:t>https://mcp.opencaselaw.ch/entscheid/vd_omni_CR.2009.0067</w:t>
      </w:r>
    </w:p>
    <w:p>
      <w:r>
        <w:t>FR: VD_OMNI CR.2009.0067 du 9 mars 2010</w:t>
      </w:r>
    </w:p>
    <w:p>
      <w:r>
        <w:t>IT: VD_OMNI CR.2009.0067 del 9 marzo 2010</w:t>
      </w:r>
    </w:p>
    <w:p>
      <w:pPr>
        <w:pStyle w:val="Heading2"/>
      </w:pPr>
      <w:r>
        <w:t>Regeste</w:t>
      </w:r>
    </w:p>
    <w:p>
      <w:r>
        <w:t>X.________ c/Service des automobiles et de la navigation | Commet une infraction grave au sens de l'art. 16c al. 1 let. a LCR le conducteur qui suit, à 120 km/h sur l'autoroute, un véhicule à une distance de 10 m sur 500 m, puis un autre à une distance de 10 m sur 400 mètres.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recourant conteste la qualification de l'infraction, qu'il considère de moyenne gravité seulement. a) En matière de circulation routière, commet une infraction légère la personne qui, en violant les règles de la circulation, met légèrement en danger la sécurité d’autrui et à laquelle seule une faute bénigne peut être imputée (art. 16a al. 1 let. a de la loi fédérale du 19 décembre 1958 sur la circulation routière [LCR; RS 741.01]).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II 4132 et 4134; ATF 6A.16/2006 du 6 avril 2006 consid. 2.1.1; arrêt de la Cour de droit administratif et public du Tribunal cantonal [qui a remplacé, le 1 er janvier 2008, le Tribunal administratif] CR.2008.0315 du 3 juin 2009 consid. 3a). b) Le conducteur observera une distance suffisante envers tous les usagers de la route, notamment pour croiser, dépasser et circuler de front ou lorsque les véhicules se suivent (art. 34 al. 4 LCR). Dans ce dernier cas, le conducteur se tiendra à une distance suffisante du véhicule le précédant, afin de pouvoir s’arrêter à temps en cas de freinage inattendu (art. 12 al. 1 de l’ordonnance fédérale du 13 novembre 1962 sur les règles de la circulation routière [OCR; RS 741.11]). La jurisprudence n’a pas déterminé de manière précise ce qu’il faut entendre par distance suffisante au sens des art. 34 al. 4 LCR et 12 al. 1 OCR. La règle des deux secondes ou du "demi compteur" (correspondant à un intervalle de 1,8 s) sont des standards minimum habituellement reconnus (ATF 131 IV 133 consid. 3.1 p. 135, traduit in JdT 2005 I p. 466). Prenant en compte la pratique allemande et la doctrine, la jurisprudence du Tribunal fédéral a considéré que le cas peut être grave lorsque l'intervalle entre les véhicules est inférieur à 0,8 voire 0,6 s (ATF 131 IV 133 consid. 3.2.2 p. 137; ATF 1C_104/2009 du 26 mai 2009 consid. 3.1). Ce cas a été tenu pour réalisé lorsque, dans de bonnes conditions de circulation, le conducteur coupable a, sur une distance de 800 m environ et à une vitesse supérieure à 100 km/h, suivi le véhicule le précédant sur la voie de gauche de l’autoroute avec un écart de moins de 10 m, correspondant à 0,3 seconde de temps de parcours (ATF 131 IV 133). c) En l'occurrence, selon le rapport de police du 21 janvier 2009, le recourant a rattrapé puis suivi un fourgon de couleur grise qui roulait à 120 km/h. C'était donc également l'allure du recourant. Le rapport indique encore que le recourant a suivi une autre voiture, soit une 2******** grise, de la même manière. La vitesse du recourant était en conséquence aussi de 120 km/h à cet instant. La vitesse de 120 km/h équivaut à 33,3 m/s. Le rapport de police retient que le recourant a suivi les deux véhicules à une distance de 5 à 10 mètres. C'est cette dernière valeur, plus favorable au recourant, qui doit être retenue. A 120 km/h (ou 33,3 m/s), 10 m sont parcourus en 0,3 secondes. La distance entre le recourant et les deux véhicules qui l'ont précédé était donc nettement insuffisante au regard de l'art. 12 al. 1 OCR et de la jurisprudence y relative, qui fixe un seuil minimal de 0,8 voire 0,6 secondes. Laisser une distance aussi faible à 120 km/h sur la voie de dépassement d'une autoroute lors du dépassement d'autres véhicules, sur une distance de 900 m, crée dans tous les cas un danger abstrait accru et constitue, objectivement, une violation grave des règles de la circulation. Le recourant fait valoir que le fourgon de couleur grise s'est placé inopinément devant lui alors qu'il dépassait d'autres véhicules. Si tel est effectivement le cas, il appartenait au recourant de ralentir afin de rétablir une distance correcte avec le véhicule qui le précédait. Au lieu de cela, le recourant a suivi le fourgon gris sur une distance de 500 m et une autre voiture sur 400 m, soit, à une vitesse de 120 km/h, pendant 15 s respectivement 12 secondes. Le recourant aurait donc eu, dans les deux cas, amplement le temps de ralentir si la distance insuffisante avait été le résultat d'un déboîtement imprudent des autres usagers de la route. La durée importante pendant laquelle le recourant a suivi, en violation des art. 34 al. 4 LCR et 12 al. 1 OCR, les véhicules qui le précédaient, ne dénote donc pas un comportement fortuit, mais bien plus l'intention du recourant de manœuvrer comme il l'a fait. Ayant agi sans scrupules malgré la mise en danger que son comportement impliquait, le recourant remplit aussi les conditions subjectives de la violation grave des règles de la circulation routière. d) La cour n’est pas liée par le prononcé du Préfet de Nyon (qui a considéré qu'on ne se trouvait pas en présence d'une violation grave d'une règle de la circulation et a condamné le recourant en application de l'art. 90 ch. 1 LCR). Si les faits retenus au pénal lient en principe le juge administratif, il n’en va pas en effet pas de même pour les questions de droit, en particulier l’appréciation de la faute (CR.2009.0005 du</w:t>
      </w:r>
    </w:p>
    <w:p>
      <w:r>
        <w:rPr>
          <w:b/>
        </w:rPr>
        <w:t>E. 6</w:t>
      </w:r>
    </w:p>
    <w:p>
      <w:r>
        <w:t>janvier 2010 consid. 1c; CR.2008.0105 du 14 novembre 2008 consid. 3, confirmé par ATF 1C_585/2008 du 14 mai 2009; ATF 1C_71/2008 du 31 mars 2008 consid. 2.1 et références). Le comportement du recourant constituant une violation grave des règles de la circulation, c'est à bon droit que le SAN s'est écarté de la qualification retenue par le Préfet de Nyon. e) Le recourant compare les faits qui lui sont reprochés à ceux de l'ATF 1C_271/2008 du 8 janvier 2009 (publié dans le Recueil officiel des arrêts du Tribunal fédéral sous référence 135 II 138), dans lequel un camion avait, par manque d'attention suffisante, embouti le véhicule qui le précédait; seule une infraction moyennement grave avait été retenue. Le recourant soutient que l'infraction qu'il a commise ne peut être considérée comme plus grave. Le recourant perd de vue que les faits qui lui sont reprochés, contrairement à ceux de l'arrêt qu'il cite, ont eu lieu sur l'autoroute, alors qu'il roulait à 120 km/h. En suivant le véhicule qui le précédait à une distance parcourue en 0,3 s, le recourant aurait été incapable d'éviter une collision, si celui-ci avait subitement freiné. A cette allure, un choc entre deux véhicules peut avoir des conséquences très graves. De plus, il n'est pas nécessaire qu'un résultat dommageable se produise pour que l'infraction grave soit consommée; il suffit que le conducteur mette sérieusement en danger la sécurité d'autrui ou en prenne le risque, ce qui était le cas en l'occurrence. 3. Le recourant tente de s’exculper en prétendant qu’il aurait été talonné par la voiture de police banalisée et ainsi poussé à la faute par des gendarmes jouant le rôle d’agents provocateurs. Ce scénario, qui ne s'appuie sur aucun indice concret, n’est pas crédible. Tout d’abord, lors de son interpellation, le recourant n’a pas prétendu avoir été lui-même suivi de trop près par une quelconque voiture. Selon le rapport de police, il a reconnu les faits. Il n’a pas non plus demandé le réexamen du prononcé préfectoral sans citation le condamnant pour violation des art. 34 al. 4 LCR et 12 al. 1 OCR. Ce n’est que le 16 juin, par l’intermédiaire du service juridique d’Assista TCS SA, qu’il a déclaré qu’il s’était " senti a un certain moment importuné par une 2******** bleue marine qui le suivait en le poussant à accélérer, (…) " et "(…) qu’il se serait agit là d’une voiture de police banalisée, tout comme la Skoda Octavia (JT-626) dont fait état le constat du 20 janvier 2009 ." Outre qu’il paraît extrêmement peu vraisemblable que deux voitures banalisées de la gendarmerie aient patrouillé simultanément sur le même tronçon d’autoroute, le recourant n’a ensuite repris cette allégation, sous la plume de son avocat, qu'à titre hypothétique: " A ce sujet de deux choses l'une, soit le véhicule de police était lui-même à une distance ne constituant pas une infraction - et dans ce cas on peut se demander comment il a été possible de fixer avec précision que [le recourant] circulait à une distance de 5 à 10 mètres du véhicule précédent ? - soit le véhicule de police talonnait [le recourant], agissant ainsi comme agent provocateur, ce qui diminue la faute (…) d’autant " (réclamation du 5 août 2009, p. 4, et recours du 6 octobre 2009, p. 8). Il n’est ainsi plus question d’2******** bleue, ni d’affirmation catégorique; ne reste qu’une hypothèse, au demeurant peu convaincante: on ignore certes comment était positionné le véhicule de police lorsque les gendarmes ont constaté l'infraction, mais il n'est pas impossible d’évaluer la distance entre deux véhicules en les suivant soi-même à une distance suffisante, légèrement décalé par rapport à leur axe de marche, ou en roulant sur une autre voie de circulation. Au surplus, même si l’on admettait que le recourant a été serré de près par un véhicule qui le suivait, cela ne constituerait pas un fait justificatif. En effet, le danger que peut représenter un véhicule qui suit à une trop faible distance croît avec la vitesse; accélérer pour augmenter cette distance ne constitue pas une réaction adéquate (CR.1999.02018 décembre 1999 consid. 3). Réduire la distance par rapport au véhicule qui précède n'a dans ce cas également pas d'autre effet que d'accroître le danger de collision en chaîne. 4. Selon l'art. 16c al. 2 LCR, après une infraction grave, le permis de conduire est retiré pour trois mois au minimum s'il n'y a pas d'antécédent. La cour de céans a rappelé récemment que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p. 236 s. cité dans CR. 2008.0197 du 17 mars 2009 consid. 4e; CR.2009.0025 du 6 janvier 2010 consid. 2).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p. 236 s.). Le besoin professionnel du véhicule ne permet pas de prononcer une sanction inférieure au minimum prévu par l'art. 16c LCR (CR.2009.0022 du 27 novembre 2009 consid. 2b; CR.2009.0025 du 6 janvier 2010 consid. 2). Le recourant n'a pas d'antécédent. L'autorité intimée a prononcé à son encontre un retrait de permis de conduire d'une durée correspondant au minimum légal prévu, soit trois mois. La pertinence des arguments invoqués par le recourant, envisagés du point de vue de la quotité de la sanction, n'a dès lors pas besoin d'être examinée puisqu'il n'est de toute façon pas possible de réduire la durée de la mesure prononcée à son encontre. La décision querellée ne prête pas flanc à la critique. 5. Les considérants qui précèdent conduisent au rejet du recours aux frais de son auteur (art. 49 al. 1 LPA-VD),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