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CR.2009.0066 vom 4. März 2010</w:t>
      </w:r>
    </w:p>
    <w:p>
      <w:r>
        <w:t>VD Tribunal cantonal, 2010-03-04, FR</w:t>
      </w:r>
    </w:p>
    <w:p>
      <w:r>
        <w:rPr>
          <w:b/>
        </w:rPr>
        <w:t xml:space="preserve">Quelle: </w:t>
      </w:r>
      <w:r>
        <w:t>https://mcp.opencaselaw.ch/entscheid/vd_omni_CR.2009.0066</w:t>
      </w:r>
    </w:p>
    <w:p>
      <w:r>
        <w:t>FR: VD_OMNI CR.2009.0066 du 4 mars 2010</w:t>
      </w:r>
    </w:p>
    <w:p>
      <w:r>
        <w:t>IT: VD_OMNI CR.2009.0066 del 4 marzo 2010</w:t>
      </w:r>
    </w:p>
    <w:p>
      <w:pPr>
        <w:pStyle w:val="Heading2"/>
      </w:pPr>
      <w:r>
        <w:t>Regeste</w:t>
      </w:r>
    </w:p>
    <w:p>
      <w:r>
        <w:t>X.________ c/Service des automobiles et de la navigation | Dépassement de 31km/h de la vitesse autorisée hors des localités. L'affirmation du recourant selon laquelle il aurait vu un panneau sur lequel figurerait l'inscription "Déviation semi-autoroute pour cause de travaux" ne repose pas sur des éléments de fait que l'autorité pénale aurait manifestement omis de prendre en considération. Il s'ensuit que rien ne permet de revenir sur les constatations figurant dans le prononcé pénal, qui ne tient pas compte du fait que le recourant aurait vu ou cru voir un panneau de déviation orange, prononcé pénal que ce dernier n'a par ailleurs pas contesté. Dès lors, retrait du permis de conduire pour une durée de 6 mois (minimum légal) confirmé.</w:t>
      </w:r>
    </w:p>
    <w:p>
      <w:pPr>
        <w:pStyle w:val="Heading2"/>
      </w:pPr>
      <w:r>
        <w:t>Erwägungen</w:t>
      </w:r>
    </w:p>
    <w:p>
      <w:r>
        <w:rPr>
          <w:b/>
        </w:rPr>
        <w:t>E. 1</w:t>
      </w:r>
    </w:p>
    <w:p>
      <w:r>
        <w:t>Les dispositions de la LCR régissant le retrait d'admonestation du permis de conduire ont été révisées par la loi fédérale du 14 décembre 2001, entrée en vigueur le 1 er janvier 2005 (RO 2002 2767 ; RO 2004 2849). Les nouvelles règles s'appliquent aux personnes qui ont commis une infraction légère, moyenne ou grave depuis cette date (dispositions transitoires de la modification du 14 décembre 2001, al. 1 ; RO 2002 2767, 2781). Elles sont applicables en l'espèce, dès lors que les faits reprochés au recourant se sont produits le 27 avril 2009 (cf. arrêt CR.2008.0139 du 27 août 2008 consid. 1).</w:t>
      </w:r>
    </w:p>
    <w:p>
      <w:r>
        <w:rPr>
          <w:b/>
        </w:rPr>
        <w:t>E. 2</w:t>
      </w:r>
    </w:p>
    <w:p>
      <w:r>
        <w:t>a) La LCR distingue les infractions légères, moyennement graves et graves (art. 16a-c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selon l'art. 16c al. 1 let. a LCR la personne qui, en violant gravement les règles de la circulation, met sérieusement en danger la sécurité d'autrui ou en prend le risque. Conformément à l'art. 16c al. 2 let. a LCR, le permis d'élève-conducteur ou le permis de conduire est retiré pour trois mois au minimum après une infraction grave. Si des circonstances telles que la gravité de la faute, les antécédents ou la nécessité professionnelle de conduire un véhicule automobile doivent être prises en compte pour fixer la durée du retrait, la durée minimale ne peut pas être réduite à teneur de l'art. 16 al. 3 LCR.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définir comme légère ou au contraire de la qualifier de grave ne sont pas réunis. Tel est par exemple le cas lorsque la faute est grave et la mise en danger bénigne ou, inversement, si la faute est légère et la mise en danger grave (FF 1999 II/2 4132 et 4134; René Schaffhauser, Die neuen Administrativmassnahmen des Strassenverkehrsgesetzes, in Jahrbuch zum Strassenverkehrsrecht 2003, p. 186; pour une catégorisation plus exhaustive des cas moyennement graves, cf. C. Mizel, Les nouvelles dispositions légales sur le retrait du permis de conduire, in RDAF 2004 p. 361, 392; v. ATF 6A.16/2006 du 6 avril 2006 consid. 2.1.1). b)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 ATF 132 II 234 consid. 3.2 p. 238; 124 II 259 consid. 2b p. 262 s.). Il est en revanche de moyenne gravité lorsque le dépassement de la vitesse autorisée est, respectivement, de 21 à 24 km/h ( ATF 126 II 196 consid. 2a p. 199), de 26 à 29 km/h et de 31 à 34 km/h ( ATF 128 II 131 consid. 2a p. 132). Un arrêt récent a confirmé ce système de seuils schématiques arrêtés par la jurisprudence en matière d'excès de vitesse (ATF 1C_83/2008 du 16 octobre 2008 consid. 2). Cette jurisprudence ne dispense toutefois pas l'autorité de tout examen des circonstances du cas concret. D'une part, l'importance de la mise en danger et celle de la faute doivent être appréciées afin de déterminer quelle doit être la durée d'un retrait de permis (cf. art. 16 al. 3 LCR).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 ATF 126 II 196 consid. 2a p. 199; 124 II 97 consid. 2c p. 101; 123 II 37 consid. 1f p. 41). L'autorité pourra également renoncer au retrait du permis de conduire en présence de circonstances analogues à celles qui justifient de renoncer à une peine en application de l'art. 54 CP (ATF 1C_303/2007 du 15 mai 2008 consid. 8.1; 6B_264/2007 du 19 septembre 2007 consid. 3.1; 6A.103/2002 du 27 janvier 2003 consid. 2.2 in SJ 2003 I p. 287; ATF 128 II 86 consid. 2c p. 88; 126 II 196 consid. 2c p. 200) ou encore des art. 17 ss CP (ATF 1C_4/2007 du 4 septembre 2007 consid. 2.2).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loi fédérale sur la circulation routière du 31 mars 1999, FF 1999 II/2 4131; ATF 132 II 234 consid.</w:t>
      </w:r>
    </w:p>
    <w:p>
      <w:r>
        <w:rPr>
          <w:b/>
        </w:rPr>
        <w:t>E. 2.3</w:t>
      </w:r>
    </w:p>
    <w:p>
      <w:r>
        <w:t>p. 236 s.). Cette volonté d'uniformité, clairement exprimée par le législateur, exclut la possibilité ouverte par la jurisprudence, sous l'ancien droit, de réduire la durée minimale du retrait du permis, voire de renoncer à toute sanction en cas de faute particulièrement peu grave (ATF 1C_83/2008 du 16 octobre 2008 consid. 2.1; 6A.61/2006 du 23 novembre 2006 consid. 4.3 et 4.5 résumés in JdT 2007 I 502). c) En l’occurrence, le recourant a commis un excès de vitesse de 31 km/h hors des localités. Le dépassement de vitesse constaté constitue objectivement un cas grave au sens de l’art. 16c al. 1 let. a LCR, impliquant un retrait du permis de conduire d’une durée minimum de six mois au vu des antécédents du recourant.</w:t>
      </w:r>
    </w:p>
    <w:p>
      <w:r>
        <w:rPr>
          <w:b/>
        </w:rPr>
        <w:t>E. 3</w:t>
      </w:r>
    </w:p>
    <w:p>
      <w:r>
        <w:t>Le recourant fait cependant valoir que, alors qu’il circulait en direction de 4._______ sur le tronçon Schaffhouse-Winterthour, à environ un kilomètre d’3.________, il a remarqué un panneau indicatif dans un giratoire sur lequel aurait été indiqué « Déviation semi-autoroute pour cause de travaux ». Il indique que de ce fait il était certain de rouler sur une semi-autoroute où la limitation de la vitesse autorisée est de 100 km/h. a) Les autorités administratives appelées à prononcer un retrait du permis de conduire ne peuvent en principe pas s’écarter des constatations de fait d’un jugement pénal entré en force. La sécurité du droit commande en effet d’éviter que l’indépendance du juge pénal et du juge administratif ne conduise à des jugements opposés, rendus sur la base des mêmes faits (ATF 1C_93/2008 du 2 juillet 2008 consid. 2.1 ; 109 Ib 203 consid. 1 p. 204 ;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à laquelle s’est livré le juge pénal se heurte clairement aux faits constatés, ou si le juge pénal n’a pas élucidé toutes les questions de droit, en particulier celles qui touchent à la violation des règles de la circulation (ATF 1C_93/2008 du 2 juillet 2008 consid. 2.1 ; 123 II 97 consid. 3c/aa p. 104 ; 119 Ib 158 consid. 3c/aa p. 164 ; 105 Ib 18 consid. 1a p. 19 ; 101 Ib 270 consid. 1b p. 273 s. ; 96 I 766 18 consid. 5 p. 774 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 Strafbefehlsverfahren »),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1C_93/2008 du 2 juillet 2008 consid. 2.1 ; 123 II 97 consid. 3c/aa p. 104 ; 121 II 214 consid. 3a p. 217 s.). b) En l’espèce, l’autorité pénale a retenu le fait que le recourant avait dépassé la vitesse autorisée de 31 km/h en dehors des localités. Celui-ci ne conteste pas avoir atteint la vitesse de 111 km/h (marge de sécurité déduite), mais fait valoir s’être conformé à un panneau indicatif se trouvant dans un giratoire et sur lequel aurait été indiqué « Déviation semi-autoroute pour cause de travaux ». Il ressort cependant de ses propres déclarations, figurant dans le rapport de police du 21 mai 2009, qu’il ne connaissait pas la région dans laquelle il circulait et qu’il n’avait pas vu la signalisation, mais qu’il était parti de l’idée qu’il se trouvait sur une semi-autoroute. Le recourant ne s’est néanmoins pas prévalu, devant l’autorité pénale, avoir vu le panneau précité ; au contraire, selon le rapport de police, il a indiqué ne pas avoir vu la signalisation. Dans sa décision, le ministère public de Winterthour/Unterland ne s’est pas non plus référé à une quelconque affirmation de l’intéressé selon laquelle celui-ci aurait vu un tel panneau indicatif. Selon son courrier du 27 janvier 2010, ce dernier n’a par ailleurs pas contesté par écrit la décision de l’autorité pénale. L’on peut dès lors constater que, contrairement aux règles de la bonne foi, celui-ci, alors même qu’il savait ou aurait dû prévoir, en raison de la gravité des faits qui lui étaient reprochés, qu’il y aurait une procédure de retrait de permis, n’a pas fait valoir ses moyens dans le cadre de la procédure pénale, le cas échéant en épuisant les voies de recours à sa disposition. Il ne pouvait pas attendre la procédure administrative pour exposer ses arguments. Il n’y a par conséquent pas de place pour une nouvelle instruction à ce sujet et le fait pour le recourant de prétendre qu’il aurait vu un panneau sur lequel figurerait l’inscription « Déviation semi-autoroute pour cause de travaux » ne repose pas sur des éléments de fait que l’autorité pénale aurait manifestement omis de prendre en considération. Il s’ensuit que rien ne permet de revenir sur les constatations figurant dans le prononcé pénal, qui ne tient pas compte du fait que le recourant aurait vu ou cru voir un panneau de déviation orange. L’on ne saurait dès lors en l’espèce tenir compte d’une telle affirmation. c) Les circonstances du cas d’espèce ne permettent par ailleurs pas de considérer que la faute du recourant est de gravité moyenne ou légère. Dès lors tout d’abord qu’il se trouvait dans une région qu’il ne connaissait pas, l’intéressé aurait dû être particulièrement attentif à la signalisation routière, ce qui n’a pas été le cas, puisqu’il a indiqué ne pas l’avoir vue. De plus, la configuration des lieux et les conditions de circulation (bonne visibilité, route sèche et rectiligne et trafic modéré) ne font pas partie des éléments retenus sur ce point par la jurisprudence fédérale, qui cite l’art. 54 CP (atteinte subie par l’auteur à la suite de son acte) et les art. 17 ss CP (état de nécessité licite, état de nécessité excusable, etc.). Le recourant n’a par ailleurs pas été attentif à la vitesse à laquelle il roulait, puisque, alors même qu’il indique avoir pensé se trouver sur une semi-autoroute, il a néanmoins circulé jusqu’à 111 km/h, ce qui est excessif même sur ce type de route. Il s’ensuit que le comportement de l’intéressé constitue une faute grave.</w:t>
      </w:r>
    </w:p>
    <w:p>
      <w:r>
        <w:rPr>
          <w:b/>
        </w:rPr>
        <w:t>E. 4</w:t>
      </w:r>
    </w:p>
    <w:p>
      <w:r>
        <w:t>Il convient encore d’examiner l’intensité de la mise en danger provoquée par l’attitude du recourant. a)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Les seuils fixés par la jurisprudence pour distinguer le cas de peu de gravité, le cas de moyenne gravité et le cas grave tiennent compte de la nature particulière du danger représenté pour les autres usagers de la route selon le type de route sur lequel l’excès de vitesse est commis. Ils n’ont pas été fixés à la légère, mais reposent sur les considérations d’un collège d’experts mandatés par la Cour de cassation pénale du Tribunal fédéral. Ces derniers ont ainsi relevé que les excès de vitesse représentent une importante source de dangers à l’intérieur des localités (ATF 1C_83/2008 du 16 octobre 2008 consid. 2.5). La situation se présente de façon quelque peu différente en dehors des localités. Il est vrai que les conducteurs doivent y gérer un moins grand nombre de paramètres qu’à l’intérieur des localités. Ils sont pourtant amenés à rencontrer de nombreux usagers de la route vulnérables (piétons, cyclistes). Sans compter que le risque de collisions latérales est bien réel. Une vitesse excessive crée également un important danger en dehors des localités (ATF 121 IV 230 consid. 2c, JdT 1996 I 754). b) En l’espèce, au vu de l’excès de vitesse litigieux commis en dehors d’une localité, l’attitude peu prudente du recourant a constitué une mise en danger importante pour les autres usagers de la route. Ainsi que le relève l’autorité pénale, ceux-ci n’avaient pas à compter sur l’approche d’un véhicule circulant de manière si rapide et dépassant de façon si importante la vitesse autorisée. Aucun élément ne permet ainsi de s’écarter du fait qu’un dépassement de 31 km/h en dehors des localités constitue une mise en danger grave. c) En conséquence, la faute et la mise en danger étant toutes deux graves, le recourant a commis une infraction grave aux règles de la LCR au sens de l’art. 16c al. 1 let. a LCR, comme le retient à bon droit la décision querellée.</w:t>
      </w:r>
    </w:p>
    <w:p>
      <w:r>
        <w:rPr>
          <w:b/>
        </w:rPr>
        <w:t>E. 5</w:t>
      </w:r>
    </w:p>
    <w:p>
      <w:r>
        <w:t>S elon l'art. 16c al. 2 LCR, après une infraction grave, le permis de conduire est retiré pour trois mois au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à deux reprises en raison d'infractions moyennement graves (let. c). En l’espèce, la durée du retrait du permis de conduire du recourant a été fixée à six mois par le SAN. Dans la mesure où l’intéressé s’était vu retirer son permis de conduire pour un mois jusqu’au 2 août 2007 en raison d’une infraction moyennement grave, la durée de retrait fixée en l’occurrence correspond au minimum légal. Il n'est dès lors pas nécessaire d'examiner la pertinence du besoin professionnel invoqué par le recourant, puisqu'il n'est de toute façon pas possible de réduire la durée de la mesure prononcée à son égard.</w:t>
      </w:r>
    </w:p>
    <w:p>
      <w:r>
        <w:rPr>
          <w:b/>
        </w:rPr>
        <w:t>E. 6</w:t>
      </w:r>
    </w:p>
    <w:p>
      <w:r>
        <w:t>Les considérants qui précèdent conduisent au rejet du recours aux frais de son auteur (art. 49 al. 1 de la loi du 28 octobre 2008 sur la procédure administrative [ LPA-VD - RSV 173.36 ] , qui n'a pas droit à des dépens (art. 55 al. 1 a contrario LPA-VD). La date limite fixée par la décision attaquée pour l’exécution du retrait de permis étant aujourd’hui échue, il appartiendra au SAN de fixer une nouvelle date d’exécution.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