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CR.2009.0063 vom 27. April 2010</w:t>
      </w:r>
    </w:p>
    <w:p>
      <w:r>
        <w:t>VD Tribunal cantonal, 2010-04-27, FR</w:t>
      </w:r>
    </w:p>
    <w:p>
      <w:r>
        <w:rPr>
          <w:b/>
        </w:rPr>
        <w:t xml:space="preserve">Quelle: </w:t>
      </w:r>
      <w:r>
        <w:t>https://mcp.opencaselaw.ch/entscheid/vd_omni_CR.2009.0063</w:t>
      </w:r>
    </w:p>
    <w:p>
      <w:r>
        <w:t>FR: VD_OMNI CR.2009.0063 du 27 avril 2010</w:t>
      </w:r>
    </w:p>
    <w:p>
      <w:r>
        <w:t>IT: VD_OMNI CR.2009.0063 del 27 aprile 2010</w:t>
      </w:r>
    </w:p>
    <w:p>
      <w:pPr>
        <w:pStyle w:val="Heading2"/>
      </w:pPr>
      <w:r>
        <w:t>Regeste</w:t>
      </w:r>
    </w:p>
    <w:p>
      <w:r>
        <w:t>A.X._______/Service des automobiles et de la navigation | Dépassement de la vitesse autorisée en localité de 26 km/h, constitutif d'une faute grave, au sens de l'art. 16c LCR, pour laquelle il n'est pas possible, même dans des circonstances particulières, de retirer le permis de conduire pour une durée inférieure aux minima prévus par cette disposition. Le besoin professionnel de conduire n'a pas suffi à dissuader le recourant de commettre des excès de vitesse à plusieurs reprises et de conduire en état d'ébriété, au risque de perdre son permis pour une longue durée. Recours rejeté.</w:t>
      </w:r>
    </w:p>
    <w:p>
      <w:pPr>
        <w:pStyle w:val="Heading2"/>
      </w:pPr>
      <w:r>
        <w:t>Erwägungen</w:t>
      </w:r>
    </w:p>
    <w:p>
      <w:r>
        <w:rPr>
          <w:b/>
        </w:rPr>
        <w:t>E. 1</w:t>
      </w:r>
    </w:p>
    <w:p>
      <w:r>
        <w:t>et 362 ss consid. 3), tend à respecter celui de la sécurité du droit, lequel commande en effet d’éviter que l’indépendance du juge pénal et du juge administratif ne conduise à des jugements opposés, rendus sur la base des mêmes faits (ATF 1C_93/2008 du 2 juillet 2008 consid. 2.1 ; 109 Ib 203 consid. 1 p. 204 ; 96 I 766 consid. 4 p. 774). Il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(ordonnance de condamnation) ou lorsque la décision pénale se fonde uniquement sur le rapport de police et que les témoins n'ont pas été formellement interrogés, mais entendus par des agents de police en l'absence de l'accusé (CR.2008.0282 du 3 avril 2009 consid. 2a).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123 II 97 consid. 3c/aa p. 104; 121 II 214 consid. 3a p.217 ss).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1C.29/2007 du 27 août 2007 consid. 3.1; 123 II 97 consid. 3c/aa p. 104; 119 Ib 158 consid. 3c/aa p. 164; 105 Ib 18 consid. 1a p. 19; 101 Ib 270 consid. 1b p. 273 s.; 96 I 766 consid. 5 p. 774 s.). Dans le cas présent, le recourant n’a pas contesté la sanction pénale. Ayant fait l’objet précédemment de retrait de son permis de conduire, il ne pouvait ignorer les conséquences administratives des faits constatés au pénal. Aujourd’hui, il prétend qu’il est possible que le radar ait été mal calibré et que le système de contrôle de la vitesse, combiné avec des systèmes de surveillance de la circulation aux feux rouges, n’ait pas été conforme aux Instructions de l’Office fédéral des routes (OFROU) concernant les contrôles de vitesse par la police et la surveillance de la circulation aux feux rouges du 22 mai 2008. Or, il n’avance aucun début d’indice propre à démontrer la vraisemblance d’un défaut de calibrage du radar, respectivement le non-respect des Instructions de l’OFROU, de sorte qu’il n’y a lieu pas d’entrer en matière sur ces allégations.</w:t>
      </w:r>
    </w:p>
    <w:p>
      <w:r>
        <w:rPr>
          <w:b/>
        </w:rPr>
        <w:t>E. 2</w:t>
      </w:r>
    </w:p>
    <w:p>
      <w:r>
        <w:t>a) Aux termes de l'art. 16 al. 2 de la loi fédérale du 19 décembre 1958 sur la circulation routière (LCR ; RS 741.01) 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également une infraction légère la personne qui conduit un véhicule automobile en état d’ébriété sans pour autant présenter un taux d’alcoolémie qualifié (art. 55, al. 6) et qui, ce faisant, ne commet pas d’autres infractions aux règles de la circulation routière (art. 16a al. 1 let. b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d LCR). c) Afin d’assurer l’égalité de traitement entre les conducteurs, la jurisprudence a été amenée à fixer des règles précises dans le domaine des excès de vitesse (voir, pour un récent récapitulatif l'ATF 1C_83/2008 du 16 octobre 2008 ainsi que l’ATF 1C_216/2009 du 14 septembre 2009 consid. 5.2).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Il est en revanche de moyenne gravité lorsque le dépassement de la vitesse autorisée est, respectivement, de 21 à 24 km/h (ATF 126 II 196 consid. 2a), de 26 à 29 km/h et de 31 à 34 km/h (ATF 128 II 131 consid. 2).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1C_81/2007 du 31 octobre 2007, consid. 4 ; 124 II 475 consid. 2a).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aussi Cédric Mizel, Les nouvelles dispositions légales sur le retrait du permis de conduire, RDAF 2004 I, p. 384 s). d)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Ces considérations demeurent pleinement valables aujourd'hui;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 (ATF 1C_83/2008 du 16 octobre 2008 consid. 2.5). e)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 voir pour une récapitulation générale ATF 1C_83/2008 précité).</w:t>
      </w:r>
    </w:p>
    <w:p>
      <w:r>
        <w:rPr>
          <w:b/>
        </w:rPr>
        <w:t>E. 3</w:t>
      </w:r>
    </w:p>
    <w:p>
      <w:r>
        <w:t>a) En l’espèce, le recourant a commis un excès de vitesse de 26 km/h en localité. Il a toutefois indiqué qu’il conduisait un véhicule puissant de marque Porsche qui lui a « joué un mauvais tour » et que le radar qui avait contrôlé la vitesse était couplé avec un feu, si bien que par « effet réflexe », l’automobiliste avait tendance à accélérer lorsqu’il franchissait un feu qui passe à l’orange. Par ailleurs, il y avait peu de trafic à 22h47 et les conditions météorologiques étaient bonnes. Il s’est en outre prévalu de la nécessité professionnelle de son permis, sa situation professionnelle risquant d’être très gravement affectée par un retrait de permis de douze mois, qui pourrait conduire à son licenciement, avec le risque que, dès lors qu’il est âgé de 60 ans, il reste au chômage jusqu’à sa retraite. b) À la lumière de la jurisprudence précitée (voir consid. 4c ci-dessus), un dépassement de la vitesse autorisée en localité de 26 km/h (marge de sécurité déduite) constitue un cas objectivement grave au sens de l'art. 16c al. 1 let. a LCR, devant entraîner, conformément à l'art. 16c al. 2 let. c LCR, un retrait pour douze mois au minimum, dans la mesure où le permis du recourant avait été retiré à deux reprises en raison d’infractions moyennement graves au cours des cinq années précédentes. Les arguments invoqués ne constituent pas des circonstances particulières permettant de considérer le cas comme de moindre gravité. En effet, le recourant n'avait aucun motif de douter qu’il se trouvait dans une localité ; il ne prétend d’ailleurs pas le contraire. Il ne saurait être suivi dans son argumentation relative à la tendance, pour un automobiliste, à accélérer lorsque le feu passe à l’orange par « effet réflexe ». Tout d’abord, le recourant n’apporte pas le preuve que le signal lumineux en question aurait été entrain de passer à l’orange. En outre, l’art. 68 al. 4 let. a de l’Ordonnance sur la signalisation routière du 5 septembre 1979 (OSR ; RS 741.21), prévoit que le feu jaune signifie, s’il succède au feu vert: arrêt pour les véhicules qui peuvent encore s’arrêter avant l’intersection. Cette disposition ne légitime en aucun cas la pratique décrite par le recourant, qui paraît consister en une accélération lorsque le signal lumineux passe à l’orange. De plus, il est constant 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6A.43/2000 du 22 août 2000 consid. 3c et 103 IV 99 consid. 2b). En l'espèce, roulant de nuit, à l’intérieur d’une localité, le recourant aurait dû faire preuve d'une prudence particulière. Quant aux explications de l’intéressé relatives au fait qu’à 22h47, la sécurité des tiers est mise en danger dans une moindre mesure, elles tombent à faux, la vitesse maximale des véhicules devant être conforme aux panneaux de signalisation routière, et ce à toute heure. Enfin, il lui appartient de maîtriser son véhicule, même puissant. c) Ainsi, aucune circonstance particulière justifiant de renoncer à un retrait du permis de conduire sur la base de l'art. 16c al. 2 let. a LCR ne peut être retenue en l'espèce et c'est dès lors à bon droit que l'autorité intimée a prononcé cette mesure. Reste encore à en examiner la durée.</w:t>
      </w:r>
    </w:p>
    <w:p>
      <w:r>
        <w:rPr>
          <w:b/>
        </w:rPr>
        <w:t>E. 4</w:t>
      </w:r>
    </w:p>
    <w:p>
      <w:r>
        <w:t>S’agissant de la durée de la mesure de retrait, l’autorité intimée s'est initialement écartée du minimum légal, en retenant une durée de quatorze mois, non seulement parce que le recourant avait commis une nouvelle infraction à la circulation routière moins de six mois après la fin d’une précédente mesure (retrait de permis pour excès de vitesse constitutif d’une faute moyennement grave du 3 juin au 2 octobre 2008), mais encore en regard de la gravité des faits retenus (excès de vitesse de 26 km/h au-dessus de la vitesse maximale en localité et conduite en état d’ébriété cinq jours plus tard). A la suite de la réclamation de l’intéressé, le SAN a réformé sa décision du 24 juillet 2009 en prononçant une mesure de retrait du permis de conduire d’une durée minimale de douze mois, afin de tenir compte de la situation professionnelle de Frédéric Leclerc. C’est le lieu d’observer que ce besoin professionnel n’a pas suffi à dissuader le recourant de commettre des excès de vitesse à plusieurs reprises et de conduire en état d’ébriété, au risque de perdre son permis pour une longue durée. Cet élément amène également à s’interroger sur sa capacité à respecter les règles de la circulation routière. Compte tenu de l'ensemble des circonstances, et même si le besoin professionnel est avéré, un retrait pour une durée de douze mois apparaît pour le moins justifié, dès lors que le recourant a commis six excès de vitesse entre 2000 et 2006, qu’il a été sanctionné par un retrait de permis de quatre mois le 15 mai 2008, et par un retrait d’un mois le 11 mars 2009 en raison d’une conduite en ébriété, soit quelques jours à peine avant les infractions faisant l’objet de la présente procédure, que le dépassement de vitesse est très important, que le recourant n’a pas été dissuadé de conduire en état d’ébriété le 27 mars 2009 alors qu’il avait été sanctionné le 11 mars 2009 pour des faits similaires, et que ses explications quant à la puissance de son véhicule démontrent qu’il n’a pas pris conscience de la gravité de ses actes. 7.                Les considérants qui précèdent conduisent au rejet du recours aux frais du recourant (art. 49 LPA-VD) et à la confirmation de la décision entreprise.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