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CR.2009.0061 vom 12. März 2010</w:t>
      </w:r>
    </w:p>
    <w:p>
      <w:r>
        <w:t>VD Tribunal cantonal, 2010-03-12, FR</w:t>
      </w:r>
    </w:p>
    <w:p>
      <w:r>
        <w:rPr>
          <w:b/>
        </w:rPr>
        <w:t xml:space="preserve">Quelle: </w:t>
      </w:r>
      <w:r>
        <w:t>https://mcp.opencaselaw.ch/entscheid/vd_omni_CR.2009.0061</w:t>
      </w:r>
    </w:p>
    <w:p>
      <w:r>
        <w:t>FR: VD_OMNI CR.2009.0061 du 12 mars 2010</w:t>
      </w:r>
    </w:p>
    <w:p>
      <w:r>
        <w:t>IT: VD_OMNI CR.2009.0061 del 12 marzo 2010</w:t>
      </w:r>
    </w:p>
    <w:p>
      <w:pPr>
        <w:pStyle w:val="Heading2"/>
      </w:pPr>
      <w:r>
        <w:t>Regeste</w:t>
      </w:r>
    </w:p>
    <w:p>
      <w:r>
        <w:t>X.________ c/Service des automobiles et de la navigation | Occupé à changer de CD, le recourant a laissé dévier son véhicule sur la voie opposée de circulation, provoquant ainsi une collision. Infraction grave au sens de l'art. 16c al. 1 let. a LCR. Le recourant, qui s'est vu retirer son permis de conduire au cours des dix années précédentes à deux reprises en raison d'infractions graves, se trouve en situation de récidive au sens de l'art. 16c al. 2 let. d LCR. Retrait d'une durée indéterminée, mais d'au minimum 24 mois,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fait la distinction entre les cas de peu de gravité (art. 16a al. 1 let. a LCR), les cas de gravité moyenne (art. 16b al. 1 let. a LCR) et les cas graves (art. 16c al. 1 let. a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met sérieusement en danger la sécurité d’autrui ou en prend le risque (art. 16c al. 1 let. a LCR).</w:t>
      </w:r>
    </w:p>
    <w:p>
      <w:r>
        <w:rPr>
          <w:b/>
        </w:rPr>
        <w:t>E. 3</w:t>
      </w:r>
    </w:p>
    <w:p>
      <w:r>
        <w:t>Le recourant ne conteste pas avoir enfreint l'art. 31 al. 1 LCR, qui dispose que le conducteur devra rester constamment maître de son véhicule de façon à pouvoir se conformer aux devoirs de la prudence, ainsi que l'art. 3 al. 1 de l'ordonnance fédérale du 13 novembre 1962 sur les règles de la circulation routière (OCR; RS 741.11), qui prévoit que le conducteur vouera son attention à la route et à la circulation, qu’il évitera toute occupation qui rendrait plus difficile la conduite du véhicule et qu’il veillera à ce que son attention ne soit distraite ni par la radio ni par tout autre appareil reproducteur de son. Il soutient en revanche que l'infraction commise doit être qualifiée de moyennement grave et non de grave comme l'a retenu l'autorité intimée. a) La gravité respectivement de la faute commise et de la mise en danger créée permet de déterminer si une infraction doit être qualifiée de légère, de moyennement grave ou de grave (Message du Conseil fédéral du 31 mars 1999 concernant la modification de la loi fédérale de la circulation routière, FF 1999 IV p. 4131 ss; arrêt CR.2008.0219 du 23 juin 2009; ég. C. Mizel, Les nouvelles dispositions légales sur le retrait du permis de conduire, in RDAF 2004 p. 383 s.). Une infraction est ainsi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b)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en outre arrêts CR.2009.0043 du 30 septembre 2009; CR.2006.0091 du 7 février 2007; CR.2006.0483 du 17 avril 2007). c) En l'espèce, le recourant, occupé à changer de CD, a laissé dévier son véhicule sur la voie opposée de circulation, provoquant ainsi une collision. Par son comportement, il a concrètement et gravement mis en danger la sécurité routière, même s'il n'a causé fort heureusement que des dommages corporels légers et matériels. Cet accident constituait en effet une source importante de danger pour les autres usagers et aurait pu avoir des conséquences plus sérieuses. La mise en danger créée doit ainsi être qualifiée de grave. En ce qui concerne la faute commise, force est de constater que c'est volontairement que le recourant a entrepris une activité incompatible avec la conduite (voir arrêt CR.2006.0483 précité pour le caractère incompatible avec la conduite de la manipulation d'un autoradio). Cette faute est encore aggravée par le fait qu'il se trouvait en localité et qu'il circulait de nuit. Le recourant a donc pris sciemment le risque de détourner son attention de la circulation, alors que les circonstances commandaient une attention accrue. Il ne pouvait ignorer qu'il faisait ainsi courir un risque considérable aux autres usagers de la route. La cour de céans ne peut donc pas s'en tenir à l'appréciation retenue par le préfet, car celle-ci méconnaît le fait que l'accident est dû à une négligence consciente qui aurait pu avoir de graves conséquences (le Tribunal fédéral a rappelé dans un arrêt 1C_585/2008 du 14 mai 2009 que l'intimé et le juge administratif n'étaient pas liés par la qualification juridique retenue par le juge pénal). La faute commise doit ainsi être qualifiée de grave. La CDAP, respectivement le Tribunal administratif, n'en ont pas jugé différemment dans deux affaires comparables: l'arrêt CR.2006.0483 précité, concernant le cas d'un automobiliste qui, occupé à manipuler son autoradio pour changer de CD et à régler la climatisation, avait perdu la maîtrise de son véhicule et s'était encastré dans une galerie piétonne et l'arrêt CR.2009.0043 précité, traitant du cas d'une automobiliste qui n'avait pu éviter une collision avec le véhicule qui le précédait, car elle avait porté son regard sur son autoradio. Ce qui a été déterminant dans ces deux affaires c'est que les intéressés, à l'instar du recourant, avaient délibérément quitté la route des yeux (voir ég. arrêt CR.2007.0113 du 20 août 2007 où le conducteur s'était baissé pour ramasser un téléphone tombé à ses pieds et avait laissé ainsi son véhicule dévier sur la voie opposée). C'est dès lors à tort que le recourant considère que ces jurisprudences ne sont pas applicables dans le cas d'espèce. Au regard de ces éléments, la double condition de gravité de la faute et de la mise en danger étant réalisée, c'est à juste titre que l'autorité intimée a qualifié l'infraction commise de grave.</w:t>
      </w:r>
    </w:p>
    <w:p>
      <w:r>
        <w:rPr>
          <w:b/>
        </w:rPr>
        <w:t>E. 4</w:t>
      </w:r>
    </w:p>
    <w:p>
      <w:r>
        <w:t>Il reste à examiner la quotité de la mesure prononcée. a) Selon l'art. 16c al. 2 LCR, après une infraction grave, le permis d'élève conducteur ou le permis de conduire est retiré pour trois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a été retiré à deux reprises en raison d'infractions graves ou à trois reprises en raison d'infractions qualifiées de moyennement graves au moins (let. d). b) En l'espèce, le recourant s'est vu retirer son permis de conduire au cours des dix années précédentes à deux reprises (en 2006 et 2007) en raisons d'infractions graves. Il tombe ainsi sous le coup de l'art. 16c al. 2 let. d LCR qui prévoit un retrait d'une durée indéterminée, mais pour deux ans au minimum. La décision attaquée échappe donc à la critique sur ce point. Quant à la condition fixée pour la restitution du permis de conduire (conclusions favorables d'une expertise auprès de l'UMPT, l'Unité de médecine et de psychologie du trafic), elle apparaît tout à fait appropriée pour s'assurer que l'inaptitude du recourant à la conduite a disparu et qu'il a pris conscience de la dangerosité de son comportement. On rappelle en effet que le recourant a commis trois infractions graves en moins de quatre ans. La condition posée à la restitution du permis sera dès lors confirmée également.</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