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CR.2009.0056 vom 23. März 2010</w:t>
      </w:r>
    </w:p>
    <w:p>
      <w:r>
        <w:t>VD Tribunal cantonal, 2010-03-23, FR</w:t>
      </w:r>
    </w:p>
    <w:p>
      <w:r>
        <w:rPr>
          <w:b/>
        </w:rPr>
        <w:t xml:space="preserve">Quelle: </w:t>
      </w:r>
      <w:r>
        <w:t>https://mcp.opencaselaw.ch/entscheid/vd_omni_CR.2009.0056</w:t>
      </w:r>
    </w:p>
    <w:p>
      <w:r>
        <w:t>FR: VD_OMNI CR.2009.0056 du 23 mars 2010</w:t>
      </w:r>
    </w:p>
    <w:p>
      <w:r>
        <w:t>IT: VD_OMNI CR.2009.0056 del 23 marzo 2010</w:t>
      </w:r>
    </w:p>
    <w:p>
      <w:pPr>
        <w:pStyle w:val="Heading2"/>
      </w:pPr>
      <w:r>
        <w:t>Regeste</w:t>
      </w:r>
    </w:p>
    <w:p>
      <w:r>
        <w:t>X.________ c/Service des automobiles et de la navigation | Confirmation d'un retrait de permis d'un mois à une conductrice ayant suivi sur l'autoroute un véhicule en dépassement à une distance de dix mètres environ et à une vitesse d'environ 100 km/h. Cas considéré comme moyennement grave dans la mesure où il n'est pas établi sur quelle distance la recourante n'a pas maintenu une distance suffisante avec le véhicule qui la précédait.</w:t>
      </w:r>
    </w:p>
    <w:p>
      <w:pPr>
        <w:pStyle w:val="Heading2"/>
      </w:pPr>
      <w:r>
        <w:t>Erwägungen</w:t>
      </w:r>
    </w:p>
    <w:p>
      <w:r>
        <w:rPr>
          <w:b/>
        </w:rPr>
        <w:t>E. 1</w:t>
      </w:r>
    </w:p>
    <w:p>
      <w:r>
        <w:t>La recourante conteste les faits retenus par l'autorité intimée, en particulier la distance sur laquelle elle aurait circulé de manière rapprochée du véhicule qui la précédait et l'écart qui la séparait de celui-ci. a) Selon la jurisprudence,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1C.29/2007 du 27 août 2007 consid. 3.1; 123 II 97 consid. 3c/aa p. 104; 119 Ib 158 consid. 3c/aa p. 164; 105 Ib 18 consid. 1a p. 19; 101 Ib 270 consid. 1b p. 273 s.; 96 I 766 consid.</w:t>
      </w:r>
    </w:p>
    <w:p>
      <w:r>
        <w:rPr>
          <w:b/>
        </w:rPr>
        <w:t>E. 5</w:t>
      </w:r>
    </w:p>
    <w:p>
      <w:r>
        <w:t>Les considérants qui précèdent conduisent au rejet du recours et à la confirmation de la décision attaquée. Vu l’issue du litige, l’émolument de justice sera mis à la charge de la recourante qui succombe (art. 49 de la loi du 28 octobre 2008 sur la procédure administrative; LPA-VD, RS 173.36).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