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CR.2009.0043 vom 30. September 2009</w:t>
      </w:r>
    </w:p>
    <w:p>
      <w:r>
        <w:t>VD Tribunal cantonal, 2009-09-30, FR</w:t>
      </w:r>
    </w:p>
    <w:p>
      <w:r>
        <w:rPr>
          <w:b/>
        </w:rPr>
        <w:t xml:space="preserve">Quelle: </w:t>
      </w:r>
      <w:r>
        <w:t>https://mcp.opencaselaw.ch/entscheid/vd_omni_CR.2009.0043</w:t>
      </w:r>
    </w:p>
    <w:p>
      <w:r>
        <w:t>FR: VD_OMNI CR.2009.0043 du 30 septembre 2009</w:t>
      </w:r>
    </w:p>
    <w:p>
      <w:r>
        <w:t>IT: VD_OMNI CR.2009.0043 del 30 settembre 2009</w:t>
      </w:r>
    </w:p>
    <w:p>
      <w:pPr>
        <w:pStyle w:val="Heading2"/>
      </w:pPr>
      <w:r>
        <w:t>Regeste</w:t>
      </w:r>
    </w:p>
    <w:p>
      <w:r>
        <w:t>X.________ c/Service des automobiles et de la navigation | Conductrice distraite par l'auto-radio, qui ne prête pas attention au ralentissement du trafic sur l'autoroute et emboutit le véhicule la précédant. Faute grave et retrait du permis pour trois mois confirmé.</w:t>
      </w:r>
    </w:p>
    <w:p>
      <w:pPr>
        <w:pStyle w:val="Heading2"/>
      </w:pPr>
      <w:r>
        <w:t>Erwägungen</w:t>
      </w:r>
    </w:p>
    <w:p>
      <w:r>
        <w:rPr>
          <w:b/>
        </w:rPr>
        <w:t>E. 1</w:t>
      </w:r>
    </w:p>
    <w:p>
      <w:r>
        <w:t>a) Commet une infraction légère la personne qui, en violant les règles de la circulation, met légèrement en danger la sécurité d’autrui et à laquelle seule une faute légère peut être imputée (art. 16a al. 1 let. a de la loi fédérale du 19 décembre 1958 sur la circulation routière – LCR; RS 741.01).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En l’occurrence, le SAN a retenu une faute grave à l’encontre de X.________, qui la considère comme moyenne.</w:t>
      </w:r>
    </w:p>
    <w:p>
      <w:r>
        <w:rPr>
          <w:b/>
        </w:rPr>
        <w:t>E. 2</w:t>
      </w:r>
    </w:p>
    <w:p>
      <w:r>
        <w:t>a) Le conducteur devra rester constamment maître de son véhicule, de façon à pouvoir se conforme à ses devoirs de prudence (art. 31 al. 1 LCR). Il vouera son attention à la route et à la circulation; il évitera toute occupation qui rendrait plus difficile la conduite du véhicule; il veillera en outre à ce que son attention ne soit distraite, notamment, ni pas un appareil reproducteur de son, ni par un quelconque système d’information ou de communication (art. 3 al. 1 de l’ordonnance fédérale du 13 novembre 1962 sur la circulation routière (OCR; RS 741.11). b) Selon la jurisprudence relative à l’art. 90 ch. 2 LCR (qui est le pendant de l’infraction grave au sens de l’art. 16c LCR), la faute grave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consid. 3.2 p. 136). Est considéré comme grave le fait, pour un conducteur, de chercher un billet dans son sac à main posé sur le siège avant droit de son véhicule (ATF 1C_71/2008 du 31 mars 2008), de se baisser pour ramasser un téléphone portable tombé à ses pieds (ATF 1C_299/2007 du 11 janvier 2008; arrêt CR.2007.0103 du 20 août 2007), de manipuler l’autoradio et de régler la climatisation (arrêt CR.2006.0483 du 17 avril 2007), ou de chercher un CD dans la boîte à gants (arrêt CR.2007.0134 du 4 août 2008). c) La recourante conduisait sur l’autoroute à un moment où, à raison de la densité du trafic, celui-ci avait considérablement ralenti. Circulant sur la voie de gauche  la vitesse de 70 km/h, la recourante avait rattrapé les véhicules la précédant, dont celui de Y.________, dont la vitesse était réduire à 40-50 km/h. La distance entre ces deux véhicules était de l’ordre de 15m, selon les déclarations faites par la recourante à la police le jour même de l’accident. Dans ces circonstances, le conducteur avisé et prudent sait que le trafic de véhicules circulant à une vitesse bien inférieure à celle ordinaire sur l’autoroute, n’est pas fluide, mais perturbé par des avancées et des ralentissements subits. Il doit prêter une attention particulière à ce risque, sachant que le faible distance séparant les véhicules roulant en file ne lui donne pas un laps de réaction très long, s’il doit freiner brusquement. Or, c’est précisément ce qui s’est passé en l’occurrence: il a suffi d’un instant pour que la recourante, distraite par l’autoradio et détournant le regard sur lui, ne s’aperçoive pas du ralentissement de la file de véhicules pour emboutir celui qui la précédait. Elle a manifesté ainsi une absence temporaire d’égards pour les autres usagers de la route, assimilable à une négligence grossière au sens de la jurisprudence qui vient d’être citée, et dont il n’y a pas lieu de se départir. Contrairement à ce que soutient la recourante, une négligence inconsciente suffit pour que la faute grave soit réalisée en l’espèce. Le SAN pouvait dès lors, sans violer la loi, appliquer à l’endroit de la recourante l’art. 16c al. 2 let. a LCR, mis en relation avec l’al. 1 let. a de la même disposition, et l’art. 31 al. 1 OCR. La durée de retrait, de trois mois, correspond au minimum légal, seuil en-dessous duquel il est impossible d’aller (art. 16 al. 3 LCR).</w:t>
      </w:r>
    </w:p>
    <w:p>
      <w:r>
        <w:rPr>
          <w:b/>
        </w:rPr>
        <w:t>E. 3</w:t>
      </w:r>
    </w:p>
    <w:p>
      <w:r>
        <w:t>Le recours doit ainsi être rejeté, et la décision attaquée confirmée. Les frais sont mis à la charge de la recourante;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