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CR.2009.0042 vom 22. Oktober 2009</w:t>
      </w:r>
    </w:p>
    <w:p>
      <w:r>
        <w:t>VD Tribunal cantonal, 2009-10-22, FR</w:t>
      </w:r>
    </w:p>
    <w:p>
      <w:r>
        <w:rPr>
          <w:b/>
        </w:rPr>
        <w:t xml:space="preserve">Quelle: </w:t>
      </w:r>
      <w:r>
        <w:t>https://mcp.opencaselaw.ch/entscheid/vd_omni_CR.2009.0042</w:t>
      </w:r>
    </w:p>
    <w:p>
      <w:r>
        <w:t>FR: VD_OMNI CR.2009.0042 du 22 octobre 2009</w:t>
      </w:r>
    </w:p>
    <w:p>
      <w:r>
        <w:t>IT: VD_OMNI CR.2009.0042 del 22 ottobre 2009</w:t>
      </w:r>
    </w:p>
    <w:p>
      <w:pPr>
        <w:pStyle w:val="Heading2"/>
      </w:pPr>
      <w:r>
        <w:t>Regeste</w:t>
      </w:r>
    </w:p>
    <w:p>
      <w:r>
        <w:t>X. c/Service des automobiles et de la navigation | Rappel de la notion du droit d'être entendu qui conduit in casu à rejeter la requête d'un second échange d'écritures. Retrait du permis d'un mois confirmé pour un excès de vitesse de 33 km/h sur autoroute, étant précisé que la mise en danger qualifiée de moyennement grave suffit à retenir une infraction moyennement grave, sans qu'il y ait lieu de déterminer si la faute était légère ou moyennement grave. N'est pas pertinent l'argument selon lequel le radar n'était pas visible, seuls les panneaux de circulation devant l'être. L'argument selon lequel l'écoulement du temps depuis la perpétration de l'infraction justifierait une réduction ou une suppression de sanction en application de l'art. 48 let. e CP est écarté. Compte tenu de la nouvelle procédure de réclamation, les autorités concernées n'ont pas tardé à rendre leur décision et la prescription pénale est loin d'être acquise.</w:t>
      </w:r>
    </w:p>
    <w:p>
      <w:pPr>
        <w:pStyle w:val="Heading2"/>
      </w:pPr>
      <w:r>
        <w:t>Erwägungen</w:t>
      </w:r>
    </w:p>
    <w:p>
      <w:r>
        <w:rPr>
          <w:b/>
        </w:rPr>
        <w:t>E. 1</w:t>
      </w:r>
    </w:p>
    <w:p>
      <w:r>
        <w:t>Déposé dans le délai de 30 jours fixé par l'art. 77 de la loi du 28 octobre 2008 sur la procédure administrative (LPA-VD; RSV 173.36), le recours est intervenu en temps utile. Il est au surplus recevable en la forme.</w:t>
      </w:r>
    </w:p>
    <w:p>
      <w:r>
        <w:rPr>
          <w:b/>
        </w:rPr>
        <w:t>E. 2</w:t>
      </w:r>
    </w:p>
    <w:p>
      <w:r>
        <w:t>Le recourant a requis de pouvoir déposer un mémoire et  des réquisitions complémentaires. Le droit d'être entendu découlant de l'art. 29 al. 2 Cst. comprend notamment le droit pour l'intéressé d'obtenir qu'il soit donné suite à ses offres de preuves pertinentes ( ATF 122 I 53 consid. 4a p. 55 ; 119 Ia 136 consid. 2d p. 139 et les arrêts cités). Ce droit n'empêche cependant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 ATF 130 II 425 consid.</w:t>
      </w:r>
    </w:p>
    <w:p>
      <w:r>
        <w:rPr>
          <w:b/>
        </w:rPr>
        <w:t>E. 2.1</w:t>
      </w:r>
    </w:p>
    <w:p>
      <w:r>
        <w:t>p. 429 ; 119 Ib 492 consid. 5b p. 505-506). En l’occurrence, la cour de céans s’estime suffisamment renseignée sur les faits de la cause. En outre, dès lors que la réponse de l’autorité intimée ne contient aucun élément nouveau, il n’y a pas lieu de procéder à un second échange d’écritures.</w:t>
      </w:r>
    </w:p>
    <w:p>
      <w:r>
        <w:rPr>
          <w:b/>
        </w:rPr>
        <w:t>E. 3</w:t>
      </w:r>
    </w:p>
    <w:p>
      <w:r>
        <w:t>a) La loi sur la circulation routière distingue le cas de très peu de gravité,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2 années précédentes (art. 16a al. 2 LCR). En cas d’infraction particulièrement légère, il est renoncé à toute mesure administrative (art. 16 a al. 4 LCR).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Commet une infraction grave la personne qui, en violant gravement les règles de la circulation, met sérieusement en danger la sécurité d’autrui ou en prend le risque (art. 16 al. 1 let. a LCR). Dans cette hypothèse, le permis de conduire est retiré pour trois mois au minimum (art. 16c al. 2 let. a LCR). Si au cours des cinq années précédentes, le permis de conduire avait déjà été retiré une fois en raison d’une infraction moyennement grave, le permis de conduire est retiré pour six mois au minimum (art. 16c al. 2 let b LCR).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Il est en revanche de moyenne gravité lorsque le dépassement de la vitesse autorisée est, respectivement, de 21 à 24 Km/h (ATF 126 II 196 consid. 2a, p. 199), de 26 à 29 Km/h et de 31 à 34 Km/h (ATF 128 II 131 consid. 2a, p. 132). Malgré les critiques formulées notamment dans la doctrine, ce système de seuils schématiques arrêté par la jurisprudence en matière d'excès de vitesse a été confirmé dans des arrêts récents du Tribunal fédéral (cf. ATF 1C_585/2008 du 14 mai 2009;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 2c, p. 101; 123 II 37 consid. 1f, p. 41).</w:t>
      </w:r>
    </w:p>
    <w:p>
      <w:r>
        <w:rPr>
          <w:b/>
        </w:rPr>
        <w:t>E. 4</w:t>
      </w:r>
    </w:p>
    <w:p>
      <w:r>
        <w:t>Le recourant soutient avoir été constamment maître de son véhicule et avoir respecté les consignes de sécurité, notamment en enclenchant son frein moteur dans la rampe de la Veveyse afin d’éviter l’effet de « fading ». S’il a dépassé la limite autorisée au bas de cette rampe, cela ne résulterait  que d’une inattention passagère. Ce faisant, il considère que si la mise en danger était moyennement grave, en revanche, sa faute devrait être qualifiée de légère de sorte que l’infraction devrait également être considérée comme légère. On l'a vu, le Tribunal fédéral a confirmé récemment qu'il n'entendait pas s'écarter de sa jurisprudence relative à l'approche systématique par paliers en matière d'excès de vitesse. Dans un arrêt du 14 mai 2009 dans la cause 1C_585/2008, qui concernait un excès de vitesse de 31 km/h hors localité, il n'est ainsi pas entré en matière sur les arguments du recourant qui mettait en avant les excellentes conditions de circulation (beau temps, tronçon rectiligne, route sèche) et le fait qu'il n'y aurait pas eu de mise en danger concrète. Le Tribunal fédéral a considéré que ces circonstances n’étaient pas susceptibles de justifier que l’on s’écarte de la faute grave et que le cas soit considéré comme étant de moyenne gravité (consid. 2). En l’espèce, on ne voit pas pour quels motifs il y aurait lieu de s’écarter de ces principes. L’argument selon lequel l’infraction aurait été constatée par la ruse dès lors que le radar n’était pas visible n’est au surplus pas pertinent. Seul pourrait éventuellement être pris en considération, à certaines conditions, le fait que le panneau de limitation de vitesse était masqué (ATF 6A.11/2000 du 7 septembre 2000 ; CDAP, arrêt CR 2009.0032 du 19 août 2009), ce que le recourant ne prétend pas. A cela s’ajoute que les signaux de limitation de vitesse sont juridiquement valables lorsqu’ils ont été placés à la suite d’une décision et d’une publication conforme de l’autorité compétente, visiblement exprimée sous la forme de la signalisation concrète (ATF 126 II 196 consid. 2b et références). L’argument du recourant selon lequel la limitation de vitesse à 80 Km/h était difficile à respecter vu la courte distance qui la séparait de la première limite à 100 Km/h ne saurait par conséquent être retenu. Enfin, dès lors qu’une mise en danger de moyenne gravité suffit à retenir une infraction moyennement grave, il n’y a pas lieu de déterminer si la faute doit être qualifiée de légère ou de moyennement grave (cf. arrêt CDAP CR.2008.0140 du 18 mars 2009).</w:t>
      </w:r>
    </w:p>
    <w:p>
      <w:r>
        <w:rPr>
          <w:b/>
        </w:rPr>
        <w:t>E. 5</w:t>
      </w:r>
    </w:p>
    <w:p>
      <w:r>
        <w:t>Le recourant considère que l’écoulement du temps depuis la perpétration de l’infraction justifie une réduction voire une suppression de la sanction en application de l’art. 48 lit. e du Code pénal (CP) lequel dispose que si l’intérêt à punir a sensiblement diminué en raison du temps écoulé depuis l’infraction et que l’auteur s’est bien comporté depuis lors, la peine doit être atténuée. En matière de retrait d’admonestation, la jurisprudence admet une atténuation de la sanction lorsqu'un temps relativement long s'est écoulé depuis les faits à l'origine de la mesure. En effet, l'éducation et l'amendement d'un auteur supposent que la mesure soit dans un rapport temporel approprié avec l'infraction commise. En outre, l'écoulement du temps relativise la nécessité d'une sanction éducative lorsque l'auteur s'est bien comporté dans l'intervalle. A défaut de norme spécifique en la matière, il y a lieu de s'inspirer des règles sur la prescription pénale. Toutefois, il n'est pas possible de dire abstraitement et en chiffres absolus à partir de quel moment une procédure doit être considérée comme trop longue. Pour répondre à cette question, il faut prendre en considération les circonstances du cas particulier (ATF 6A.80/2004 du 31 janvier 2005 consid. 3.2 et références). Dans l’ATF précité, plus de 4 ans s’étaient écoulés entre les faits et la décision sur recours du Tribunal administratif, ce dernier étant resté inactif sans raison pendant près de trois ans. Le Tribunal fédéral avait notamment relevé que, sur le plan pénal,  le délai de prescription était échu depuis longtemps. En l’occurrence, la situation est très différente. En effet, les faits à l’origine de la mesure remontent au 4 janvier 2008 et la condamnation pénale, datant du 12 décembre 2008, a été confirmée – sur opposition du recourant- par prononcé du 10 février 2009. Le service des automobiles a ordonné le retrait du permis le 20 mai 2009, décision confirmée le 10 juillet 2009 à la suite de la réclamation formulée par le recourant. Outre que la prescription pénale n’est de loin pas acquise, on ne saurait reprocher aux différentes autorités qui sont intervenues dans ce dossier d’avoir trop tardé pour rendre leur décision, étant encore relevé que la durée de la procédure a résulté pour partie des propres actes de procédures du recourant. Par rapport à l’ATF précité, il faut enfin tenir compte de la durée de la procédure de réclamation introduite par la nouvelle LPA-VD dans le contentieux en matière de circulation routière.</w:t>
      </w:r>
    </w:p>
    <w:p>
      <w:r>
        <w:rPr>
          <w:b/>
        </w:rPr>
        <w:t>E. 6</w:t>
      </w:r>
    </w:p>
    <w:p>
      <w:r>
        <w:t>Vu ce qui précède, l’autorité intimée a retenu à juste titre que, en dépassant la vitesse autorisée sur autoroute de 33 km/h, le recourant a commis une infraction de gravité moyenne au sens de l’art. 16b al. 1 let. a LCR, ce qui implique un retrait de permis de conduire d’une durée minimale de un mois selon l’art. 16b al. 2 let. a LCR, le recourant ne remplissant pas les conditions d’une atténuation de peine au sens de l’art. 48 lit. e CP. Le recours doit ainsi être rejeté et la décision entreprise confirmée. Vu le sort du recours, les frais de la cause sont mis à la charge du recourant,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