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CR.2009.0037 vom 21. Oktober 2009</w:t>
      </w:r>
    </w:p>
    <w:p>
      <w:r>
        <w:t>VD Tribunal cantonal, 2009-10-21, FR</w:t>
      </w:r>
    </w:p>
    <w:p>
      <w:r>
        <w:rPr>
          <w:b/>
        </w:rPr>
        <w:t xml:space="preserve">Quelle: </w:t>
      </w:r>
      <w:r>
        <w:t>https://mcp.opencaselaw.ch/entscheid/vd_omni_CR.2009.0037</w:t>
      </w:r>
    </w:p>
    <w:p>
      <w:r>
        <w:t>FR: VD_OMNI CR.2009.0037 du 21 octobre 2009</w:t>
      </w:r>
    </w:p>
    <w:p>
      <w:r>
        <w:t>IT: VD_OMNI CR.2009.0037 del 21 ottobre 2009</w:t>
      </w:r>
    </w:p>
    <w:p>
      <w:pPr>
        <w:pStyle w:val="Heading2"/>
      </w:pPr>
      <w:r>
        <w:t>Regeste</w:t>
      </w:r>
    </w:p>
    <w:p>
      <w:r>
        <w:t>X. c/Service des automobiles et de la navigation | L'autorité intimée, qui a suspendu la procédure administrative ouverte à l'encontre du recourant dans l'attente de l'issue pénale et interpellé l'Office d'instruction pénale afin qu'il lui communique une copie de sa décision, était en droit de percevoir un montant de 50.- à titre de frais pour la procédure pénale.</w:t>
      </w:r>
    </w:p>
    <w:p>
      <w:pPr>
        <w:pStyle w:val="Heading2"/>
      </w:pPr>
      <w:r>
        <w:t>Erwägungen</w:t>
      </w:r>
    </w:p>
    <w:p>
      <w:r>
        <w:rPr>
          <w:b/>
        </w:rPr>
        <w:t>E. 1</w:t>
      </w:r>
    </w:p>
    <w:p>
      <w:r>
        <w:t>Le recourant conteste avoir perdu la maîtrise de son véhicule le 12 avril 2008. Il estime que la vitesse à laquelle il circulait était adaptée aux circonstances et que l'accident doit être attribué à l'apparition d'un chevreuil sur la route. a)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1C.29/2007 du 27 août 2007 consid. 3.1; 123 II 97 consid. 3c/aa p. 104; 119 Ib 158 consid. 3c/aa p. 164; 105 Ib 18 consid. 1a p. 19; 101 Ib 270 consid. 1b p. 273 s.; 96 I 766 consid.</w:t>
      </w:r>
    </w:p>
    <w:p>
      <w:r>
        <w:rPr>
          <w:b/>
        </w:rPr>
        <w:t>E. 5</w:t>
      </w:r>
    </w:p>
    <w:p>
      <w:r>
        <w:t>Il découle des considérations qui précèdent que le recours doit être très partiellement admis et la décision entreprise réformée en ce qui concerne le solde de la période de retrait du permis de conduire du recourant. La décision attaquée est confirmée pour le surplus. Un émolument réduit est mis à la charge du recourant qui obtient très partiellement gain de cause. Il n'est pas alloué de dépens (art. 49 al. 1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