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CR.2009.0017 vom 10. Juni 2009</w:t>
      </w:r>
    </w:p>
    <w:p>
      <w:r>
        <w:t>VD Tribunal cantonal, 2009-06-10, FR</w:t>
      </w:r>
    </w:p>
    <w:p>
      <w:r>
        <w:rPr>
          <w:b/>
        </w:rPr>
        <w:t xml:space="preserve">Quelle: </w:t>
      </w:r>
      <w:r>
        <w:t>https://mcp.opencaselaw.ch/entscheid/vd_omni_CR.2009.0017</w:t>
      </w:r>
    </w:p>
    <w:p>
      <w:r>
        <w:t>FR: VD_OMNI CR.2009.0017 du 10 juin 2009</w:t>
      </w:r>
    </w:p>
    <w:p>
      <w:r>
        <w:t>IT: VD_OMNI CR.2009.0017 del 10 giugno 2009</w:t>
      </w:r>
    </w:p>
    <w:p>
      <w:pPr>
        <w:pStyle w:val="Heading2"/>
      </w:pPr>
      <w:r>
        <w:t>Regeste</w:t>
      </w:r>
    </w:p>
    <w:p>
      <w:r>
        <w:t>X.__________ c/Service des automobiles et de la navigation | Rappel de la jurisprudence du TF selon laquelle un dépassement de la vitesse maximale aurorisée de 25 km/h et plus en localité constitue une violation grave des règles de la circulation routière et selon laquelle, conformément à l'art. 16 al. 3 LCR, les durées minimales du retrait du permis de conduire fixées à l'art. 16c LCR ne peuvent être réduites. Les arguments invoqués par le recourant, notamment le fait qu'il est conscient de la gravité de sa faute et a besoin d'utiliser son véhicule, n'ont ainsi pas à être examinés.</w:t>
      </w:r>
    </w:p>
    <w:p>
      <w:pPr>
        <w:pStyle w:val="Heading2"/>
      </w:pPr>
      <w:r>
        <w:t>Erwägungen</w:t>
      </w:r>
    </w:p>
    <w:p>
      <w:r>
        <w:rPr>
          <w:b/>
        </w:rPr>
        <w:t>E. 1</w:t>
      </w:r>
    </w:p>
    <w:p>
      <w:r>
        <w:t>En matière de circulation routière, commet une infraction légère la personne qui, en violant les règles de la circulation, met légèrement en danger la sécurité d’autrui et à laquelle seule une faute bénigne peut être imputée (art. 16a al. 1 let. a de la loi fédérale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S'agissant des excès de vitesse,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124 II 97;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123 II 37). Une moindre sévérité peut être justifiée par des circonstances exceptionnelles, telles que celles susceptibles d'entraîner une application analogique de l'art. 66bis CP (actuellement art. 54 CP) ou une erreur compréhensible sur la vitesse autorisée (ATF 124 II 475; 124 II 98; 126 II 196; cf. aussi Cédric Mizel, Les nouvelles dispositions légales sur le retrait du permis de conduire, RDAF 2004 p. 384 s). Le Tribunal fédéral a jugé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 (ATF 132 II 234). En l'espèce, le recourant ne conteste pas avoir dépassé de 26 km/h la limite maximale autorisée alors qu'il roulait en localité. Il reconnaît même expressément avoir su que la vitesse était limitée à 50 km/h sur ce tronçon. Au regard de la jurisprudence, l'infraction commise doit être qualifiée de grave.</w:t>
      </w:r>
    </w:p>
    <w:p>
      <w:r>
        <w:rPr>
          <w:b/>
        </w:rPr>
        <w:t>E. 2</w:t>
      </w:r>
    </w:p>
    <w:p>
      <w:r>
        <w:t>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La CDAP a rappelé récemment que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cité dans arrêt CDAP CR. 2008.0197 du 17 mars 2009).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Le recourant a commis une infraction moyennement grave en 2007. L'autorité intimée a prononcé à son encontre un retrait de permis de conduire d'une durée correspondant au minimum légal prévu, soit six mois. La pertinence des arguments invoqués par le recourant, notamment le fait qu'il était distrait parce qu'il sortait du cinéma, qu'il est conscient de la gravité de sa faute et a besoin d'utiliser son véhicule, n'a dès lors pas besoin d'être examinée puisqu'il n'est de toute façon pas possible de réduire la durée de la mesure prononcée à son encontre.</w:t>
      </w:r>
    </w:p>
    <w:p>
      <w:r>
        <w:rPr>
          <w:b/>
        </w:rPr>
        <w:t>E. 3</w:t>
      </w:r>
    </w:p>
    <w:p>
      <w:r>
        <w:t>Les considérants qui précèdent conduisent au rejet du recours aux frais de son auteur (art. 49 al. 1 de la loi cantonale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