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CR.2009.0007 vom 30. März 2009</w:t>
      </w:r>
    </w:p>
    <w:p>
      <w:r>
        <w:t>VD Tribunal cantonal, 2009-03-30, FR</w:t>
      </w:r>
    </w:p>
    <w:p>
      <w:r>
        <w:rPr>
          <w:b/>
        </w:rPr>
        <w:t xml:space="preserve">Quelle: </w:t>
      </w:r>
      <w:r>
        <w:t>https://mcp.opencaselaw.ch/entscheid/vd_omni_CR.2009.0007</w:t>
      </w:r>
    </w:p>
    <w:p>
      <w:r>
        <w:t>FR: VD_OMNI CR.2009.0007 du 30 mars 2009</w:t>
      </w:r>
    </w:p>
    <w:p>
      <w:r>
        <w:t>IT: VD_OMNI CR.2009.0007 del 30 marzo 2009</w:t>
      </w:r>
    </w:p>
    <w:p>
      <w:pPr>
        <w:pStyle w:val="Heading2"/>
      </w:pPr>
      <w:r>
        <w:t>Regeste</w:t>
      </w:r>
    </w:p>
    <w:p>
      <w:r>
        <w:t>X c/Service des automobiles et de la navigation | La mise en oeuvre d'une course de contrôle constitue une décision incidente, prise dans le cadre d'une procédure de retrait de permis, et qui est susceptible de causer un dommage irréparable (rappel de la jurisprudence). Depuis l'introduction le 1er janvier 2009 d'une procédure de réclamation en matière de circulation routière (art. 21 LVCR), c'est la voie de la réclamation et non du recours à la CDAP qui doit être utilisée en première instance pour contester une telle décision.</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 La réclamation est un moyen de droit ordinaire, par lequel l'administré peut demander à l'autorité de première instance de contrôler la décision qu'elle a rendue (art. 67 LPA-VD). Elle est une condition préalable au dépôt ultérieur d'un recours (art. 66 al. 2 LPA-VD). L'administré ne dispose donc pas du choix entre saisir à nouveau l'autorité de première instance et celui de s'adresser directement à l'autorité de recours. Par conséquent, si la voie de réclamation n'est pas utilisée dans le délai prévu, le droit de recours ne peut plus être exercé (Exposé des motifs et projet de lois sur la procédure administrative, mai 2008, p. 37; ég. Benoît Bovay, Procédure administrative, Berne 2000, p. 319). Au demeurant, ainsi que cela résulte clairement de l'art. 68 al. 2 LPA-VD, la réclamation peut avoir pour objet non seulement une décision finale, mais également une décision incidente. b) En procédure de recours (administratif et de droit administratif), l'art 74 LPA-VD (auquel renvoie l'art. 99 LPA-VD) distingue parmi les décisions incidentes celles qui sont susceptibles d'un recours séparé et celles qui ne sont susceptibles de recours que conjointement à la décision finale. Au nombre des premières (susceptibles d'un recours immédiat), figurent notamment celles qui portent sur la compétence ou sur une demande de récusation (art. 74 al. 3 in limine LPA-VD), celles qui ont trait à l'effet suspensif et aux mesures provisionnelles (art. 74 al. 3 in fine LPA-VD) et celles qui "peuvent causer un préjudice irréparable au recourant", (art. 74 al. 4 let. a LPA-VD) . c) Dans une jurisprudence, il est vrai antérieure à l'introduction d'une procédure de réclamation en matière de circulation routière (CR.2007.0012 du 1 er mai 2007 consid. 1, CR.2007.0344 du 29 juillet 2008 consid. 1, CR.2008.0299 du 16 mars 2009, consid. 1, ainsi que les références citées), le Tribunal administratif et la Cour de droit administratif et public du Tribunal cantonal ont considéré que la mise en œuvre d'une course de contrôle était de nature à causer un préjudice irréparable et, dès lors, que la décision ordonnant la course était susceptible d'un recours immédiat: en premier lieu, en cas d'échec, c'est en vain que le recourant se prévaudrait, dans un recours contre la décision finale, du moyen que la mesure d'instruction a été ordonnée sans droit; en outre et surtout, la course de contrôle ne peut être répétée en cas d'échec (art. 29 al. 3 OAC). d) La position de l’autorité intimée consiste à soutenir que la décision attaquée constitue effectivement une décision incidente, susceptible de causer un préjudice irréparable, et que celle-ci ne peut faire l’objet d’une réclamation, mais seulement d’un recours immédiat à la Cour de droit administratif et public du Tribunal cantonal. Ainsi, dans cette conception de l’art. 21 LVCR, seules les décisions finales ouvriraient la voie de la réclamation. Cette lecture contrevient à la systématique introduite par l’art. 66 al. 2 LPA-VD qui pose le principe que la réclamation est une condition préalable au dépôt ultérieur d’un recours. Il faut en conclure qu'en matière de circulation routière, le double renvoi de l'art. 21 al. 2 LVCR aux règles de la LPA-VD, et de l'art. 72 LPA-VD aux dispositions du chapitre IV de cette même loi, ouvre désormais la voie de la réclamation contre la décision de retrait de permis (l'interdiction ou l'avertissement), mais également contre la décision incidente prise dans le cadre d'une procédure de retrait de permis, comme en l'espèce, pour autant que les conditions de l'art. 74 al. 4 let. a LPA-VD soient réalisées. C'est ainsi la voie de la réclamation – et non du recours au Tribunal cantonal – qui doit désormais être utilisée en première instance pour contester la mise en œuvre d'une course de contrôle.</w:t>
      </w:r>
    </w:p>
    <w:p>
      <w:r>
        <w:rPr>
          <w:b/>
        </w:rPr>
        <w:t>E. 4</w:t>
      </w:r>
    </w:p>
    <w:p>
      <w:r>
        <w:t>Il résulte de ce qui précède que le Tribunal cantonal n'est pas compétent pour statuer sur le recours formé contre la décision du SAN du 5 janvier 2009. Le recours doit donc être déclaré irrecevable et transmis, à titre de réclamation, au SAN.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