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CR.2009.0003 vom 3. Dezember 2009</w:t>
      </w:r>
    </w:p>
    <w:p>
      <w:r>
        <w:t>VD Tribunal cantonal, 2009-12-03, FR</w:t>
      </w:r>
    </w:p>
    <w:p>
      <w:r>
        <w:rPr>
          <w:b/>
        </w:rPr>
        <w:t xml:space="preserve">Quelle: </w:t>
      </w:r>
      <w:r>
        <w:t>https://mcp.opencaselaw.ch/entscheid/vd_omni_CR.2009.0003</w:t>
      </w:r>
    </w:p>
    <w:p>
      <w:r>
        <w:t>FR: VD_OMNI CR.2009.0003 du 3 décembre 2009</w:t>
      </w:r>
    </w:p>
    <w:p>
      <w:r>
        <w:t>IT: VD_OMNI CR.2009.0003 del 3 dicembre 2009</w:t>
      </w:r>
    </w:p>
    <w:p>
      <w:pPr>
        <w:pStyle w:val="Heading2"/>
      </w:pPr>
      <w:r>
        <w:t>Regeste</w:t>
      </w:r>
    </w:p>
    <w:p>
      <w:r>
        <w:t>X.________ c/Service des automobiles et de la navigation | Dépassement de la vitesse autorisée en localité de 26 km/h, constitutif d'une faute grave, au sens de l'art. 16c LCR, pour laquelle il n'est pas possible, même dans des circonstances particulières, de retirer le permis de conduire pour une durée inférieure aux minima prévus par cette disposition. En revanche, prise en considération des circonstances personnelles (besoin professionnel de conduire) et durée du retrait ramenée à son minimum légal (en l'espèce, 12 mois s'agissant d'un cas de récidive dans les cinq ans suivant un précédant retrait). Recours très partiellement admis.</w:t>
      </w:r>
    </w:p>
    <w:p>
      <w:pPr>
        <w:pStyle w:val="Heading2"/>
      </w:pPr>
      <w:r>
        <w:t>Erwägungen</w:t>
      </w:r>
    </w:p>
    <w:p>
      <w:r>
        <w:rPr>
          <w:b/>
        </w:rPr>
        <w:t>E. 1</w:t>
      </w:r>
    </w:p>
    <w:p>
      <w:r>
        <w:t>La nouvelle loi du 28 octobre 2008 sur la procédure administrative (LPA-VD; RSV 173.36) est entrée en vigueur le 1 er janvier 2009. Dans la mesure où la décision objet du présent litige a été rendue le 17 décembre 2008, la procédure sur réclamation, prévue aux art. 66 ss LPA-VD, n'était pas encore en vigueur et le tribunal est dès lors compétent.</w:t>
      </w:r>
    </w:p>
    <w:p>
      <w:r>
        <w:rPr>
          <w:b/>
        </w:rPr>
        <w:t>E. 2</w:t>
      </w:r>
    </w:p>
    <w:p>
      <w:r>
        <w:t>a) Le recourant soutient que  l'autorité intimée est fondée à s'écarter des faits retenus dans la condamnation pénale et qu'elle doit tenir compte des particularités du cas d'espèce. b)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(ATF 6A.82 du 27 décembre 2006 consid 2.1 et ATF 123 II 97consid. 3c/aa p. 104). Ainsi,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1.C.29/2007 du 27 août 2007, consid. 3.1 et les références citées, en particulier, ATF 119 Ib 158, cons. 3). c) En l'espèce, le recourant a fait l'objet d'un contrôle radar le 24 août 2008 et a reconnu avoir roulé à 86 km/h sur une route limitée à 60 km/, soit un dépassement de la vitesse autorisée de 26 km/h (voir la feuille d'enquête signée le 17 septembre 2008). Au vu des ces éléments, le juge d'instruction l'a condamné à une peine pécuniaire de dix jours-amendes à 90 fr. avec sursis pendant deux ans et à une amende de 875 frs. L'autorité intimée n'avait pas de raison de remettre en question l'appréciation du juge pénal quant au fait que le dépassement est intervenu en localité. Les documents cartographiques produits par le recourant confirment d'ailleurs ce dernier point. En outre, l'intéressé ne pouvait ignorer que le prononcé d'une sanction pénale allait être accompagné d'un retrait de permis dans la mesure où il a déjà fait l'objet d'une telle procédure en 2006. En outre, lorsqu'il a reçu l'avis d'ouverture de procédure du SAN le 11 novembre 2008, le délai d'opposition contre le mandat de répression du 10 novembre 2008 était encore ouvert, si bien qu'il avait encore la possibilité, à ce moment-là, de contester les faits retenus. On ne voit ainsi pas pour quel motif l'autorité administrative aurait dû s'écarter des faits retenus par la sentence pénale, faits qui n'apparaissent ni incomplets, ni contradictoires et que le recourant ne conteste d'ailleurs pas en eux-mêmes. C'est ainsi bien un dépassement de la vitesse autorisée de 26 km/h en localité qui doit être retenu en l'espèce.</w:t>
      </w:r>
    </w:p>
    <w:p>
      <w:r>
        <w:rPr>
          <w:b/>
        </w:rPr>
        <w:t>E. 3</w:t>
      </w:r>
    </w:p>
    <w:p>
      <w:r>
        <w:t>a) Aux termes de l'art. 16 al. 2 LCR,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c LCR). c) Afin d’assurer l’égalité de traitement entre les conducteurs, la jurisprudence a été amenée à fixer des règles précises dans le domaine des excès de vitesse (voir, pour un récent récapitulatif l'ATF 1C_83/2008 du 16 octobre 2008).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1C.81/2007 du 31 octobre 2007, consid. 4 ; 124 II 475 consid. 2a). Les vitesses-limite retenues par la jurisprudence ne dispensent toutefois pas l'autorité de tout examen des circonstances du cas concret. D'une part, l'importance de la mise en danger et celle de la faute doivent être appréciées, afin de déterminer quelle doit être la durée d'un retrait de permis, respectivement l'importance de la sanction.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plus dans la zone de limitation de vitesse (ATF 6B_264/2007 du 19 septembre 2007 consid. 3.1) ou en présence de circonstances analogues à celles qui justifient de renoncer à une peine en application de l'art. 54 CP (ATF 126 II 196 consid. 2c et 1C_83/2008 du 16 octobre 2008 consid. 2.1). Selon la jurisprudence, les signaux sont juridiquement valables lorsqu'ils ont été placés à la suite d'une décision et d'une publication conformes de l'autorité compétente, visiblement exprimées sous la forme de la signalisation concrète.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 arrêt 6A.11/2000 du 7 septembre 2000) ou lorsqu'elle prête en soi à confusion au point qu'un usager attentif et de bonne foi ne saurait plus quel comportement adopter (ATF1C_194/2003 du 11 septembre 2009 consid. 3.3 et les références citées). d)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w:t>
      </w:r>
    </w:p>
    <w:p>
      <w:r>
        <w:rPr>
          <w:b/>
        </w:rPr>
        <w:t>E. 4</w:t>
      </w:r>
    </w:p>
    <w:p>
      <w:r>
        <w:t>En l'espèce, le recourant fait valoir que l'infraction commise doit être considérée comme moyennement grave, dans la mesure où Alfermée est une localité de densité très faible, et que cet élément, ainsi que la bonne visibilité ne permettent pas de considérer l'excès de vitesse comme ayant créé un sérieux danger pour la sécurité d'autrui. Seul un retrait d'une durée de quatre mois s'imposerait en l'espèce. Cette argumentation ne saurait être suivie. Tout d'abord, même en cas de circonstances particulières, un dépassement de la vitesse autorisée en localité de plus de 25 km/h constitue un cas objectivement grave , au sens de l'art. 16c al. 1 let. a LCR. Le recourant ne fait par ailleurs pas valoir qu'il aurait été empêché de voir la signalisation en raison d'un obstacle visuel particulier, ou que celle-ci était confuse, seul motif, qui aurait – très éventuellement – pu être admis à titre de circonstances justifiant de s'écarter de la signalisation en place. En outre, il ressort des photos satellite disponibles sur internet, par exemple sur le site http://maps.google.ch , que toutes les limitations à 60 km/h se situent aux alentours et dans les localités (Douanne, Wingreis, Tüscherz, Alfermée et Schlössi). Cette mesure se comprend aisément au vu des nombreuses habitations bordant immédiatement la route et des routes secondaires débouchant sur celle-ci. En dehors des localités, là où la route est uniquement bordée, d'un côté, par le train et le lac et, de l'autre, par la montagne, la vitesse autorisée est de 80 km/h. En effet, le risque pour les autres usagers de la route se trouve diminué en dehors des localités (CR.2008.0197 du 17 mars 2009). Quoiqu'il en soit, le recourant n'est pas, conformément à la jurisprudence du TF rappelée au point 2 c ci-dessus, légitimé à mettre en doute la signalisation routière. Le recourant passe de la qualification d'infraction moyennement grave à grave pour deux km/h (dépassement de la vitesse autorisée en en localité qualifié de moyennement grave de 21 à 24 km/h et de grave dès 25 km/h). Il s'agit cependant de relever qu'une marge de sécurité de 5 km/h a été déduite de la vitesse constatée par le radar. En outre,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(ATF 1C_83/2008 du 16 octobre 2008 consid. 2.5). Finalement, toute limite relève sans doute d ’un certain schématisme mais le juge est lié par la loi fédérale et la jurisprudence (art. 190 Cst.; AT F 134 I 105 consid. 6; 133 III 257 consid. 2.4, 593 consid. 5.2 et les arrêts cités). d) Ainsi, aucune circonstance particulière justifiant de renoncer à un retrait du permis de conduire sur la base de l'art. 16c al. 2 let. a LCR ne peut être retenue en l'espèce et c'est dès lors à bon droit que l'autorité intimée a prononcé cette mesure. Reste encore à en examiner la durée.</w:t>
      </w:r>
    </w:p>
    <w:p>
      <w:r>
        <w:rPr>
          <w:b/>
        </w:rPr>
        <w:t>E. 5</w:t>
      </w:r>
    </w:p>
    <w:p>
      <w:r>
        <w:t>Dans sa décision du 17 décembre 2008, l'autorité intimée a prononcé un retrait de permis pour une durée de 14 mois . Compte tenu du besoin professionnel de conduire, allégué pour la première fois dans le cadre de la procédure de recours, elle a toutefois indiqué, le 24 février 2009, être disposée à ramener la durée du retrait à 12 mois, correspondant à la durée minimum, en cas de seconde faute grave dans un délai de cinq ans. En l'espèce, compte tenu du besoin professionnel de conduire, il y a lieu de confirmer cette nouvelle appréciation et de ramener la durée du retrait à son minimum légal, soit, en l'espèce, à 12 mois, étant donné qu'il s'agit de la deuxième infraction grave commise dans un délai de cinq ans par le recourant ( art. 16c al. 2 let. c LCR et art. 16 al. 3 LCR ).</w:t>
      </w:r>
    </w:p>
    <w:p>
      <w:r>
        <w:rPr>
          <w:b/>
        </w:rPr>
        <w:t>E. 6</w:t>
      </w:r>
    </w:p>
    <w:p>
      <w:r>
        <w:t>Au vu de ce qui précède, le recours doit être très partiellement admis et la décision du SAN du 17 décembre 2008 réformée, en ce sens que la durée du retrait est ramenée à 12 mois. Compte tenu de l'admission très partielle du recours et du fait que l'autorité intimée a expressément indiqué, le 24 février 2009, être disposée à modifier la décision attaquée dans ce sens, les frais, arrêtés à 600 fr., sont laissés à la charge du recourant (art. 49 ss LPA), qui n'a pas droit à des dépens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