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CR.2008.0297 vom 20. April 2009</w:t>
      </w:r>
    </w:p>
    <w:p>
      <w:r>
        <w:t>VD Tribunal cantonal, 2009-04-20, FR</w:t>
      </w:r>
    </w:p>
    <w:p>
      <w:r>
        <w:rPr>
          <w:b/>
        </w:rPr>
        <w:t xml:space="preserve">Quelle: </w:t>
      </w:r>
      <w:r>
        <w:t>https://mcp.opencaselaw.ch/entscheid/vd_omni_CR.2008.0297</w:t>
      </w:r>
    </w:p>
    <w:p>
      <w:r>
        <w:t>FR: VD_OMNI CR.2008.0297 du 20 avril 2009</w:t>
      </w:r>
    </w:p>
    <w:p>
      <w:r>
        <w:t>IT: VD_OMNI CR.2008.0297 del 20 aprile 2009</w:t>
      </w:r>
    </w:p>
    <w:p>
      <w:pPr>
        <w:pStyle w:val="Heading2"/>
      </w:pPr>
      <w:r>
        <w:t>Regeste</w:t>
      </w:r>
    </w:p>
    <w:p>
      <w:r>
        <w:t>X c/Service des automobiles et de la navigation | Rapport de gendarmerie dénonçant le recourant pour avoir circulé à une vitesse de 85 km / h sur une route limitée à 50 km / h. Prononcé préfectoral condamnant le recourant pour vitesse inadaptée et excessive, mais retenant que la hauteur du dépassement de vitesse n'a pas pu être établie, puisque le recourant conteste avoir circulé à 85 km / h et qu'aucun appareil homologué n'a mesuré le dépassement de vitesse. Confirmation du principe selon lequel les autorités administratives ne doivent pas s'écarter des faits retenus dans les jugements pénaux sauf circonstance particulière.</w:t>
      </w:r>
    </w:p>
    <w:p>
      <w:pPr>
        <w:pStyle w:val="Heading2"/>
      </w:pPr>
      <w:r>
        <w:t>Erwägungen</w:t>
      </w:r>
    </w:p>
    <w:p>
      <w:r>
        <w:rPr>
          <w:b/>
        </w:rPr>
        <w:t>E. 1</w:t>
      </w:r>
    </w:p>
    <w:p>
      <w:r>
        <w:t>a) Selon la jurisprudence du Tribunal fédéral, les autorités administratives appelées à prononcer un retrait de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(CDAP CR.2008.0221 du 3 février 2009 et les références citées, notamment ATF 123 II 97 consid. 3 c/aa; 119 Ib 158 consid. 3). Il faut toutefois souligner que s i les faits retenus au pénal lient en principe le juge administratif, il n'en va pas de même des questions de droit, en particulier l'appréciation de la faute (ATF 1C_71/2008 du 31 mars 2008 et références citées). b) En l'espèce, le recourant fait valoir que l'autorité intimée a retenu comme infractions une vitesse nettement supérieure à celle autorisée et inadaptée à la configuration des lieux, alors que le préfet, dans sa décision du 26 septembre 2008, n'a tenu pour avérée que la seconde de ces infractions. La lecture de la décision du 26 septembre 2008 montre que le préfet a certes écrit dans les considérants : " Que, par contre, il n'est pas possible d'articuler une vitesse exacte, faute de moyen de contrôle et qu'en conséquence on retiendra l'infraction liée à une vitesse inadaptée à la configuration des lieux", mais que dans le dispositif, il a fait application non seulement de l'art. 32 al. 1 LCR (vitesse inadaptée), mais également de l'art. 27 al. 1 LCR, qui prescrit notamment que chaque usager doit se conformer aux signaux et aux marques ainsi qu'aux ordres de police. Or, dans un jugement, la partie qui fait foi est, sauf erreur manifeste, le dispositif. Le préfet a dès lors condamné le recourant non seulement pour vitesse inadaptée mais également pour vitesse supérieure à celle autorisée. En principe, lorsque le dépassement de la vitesse est prouvé, le conducteur est réprimé sur la base de l'art. 27 al. 1 LCR et non sur la base de l'art. 32 al. 1 LCR. L'art. 32 LCR est applicable quand le conducteur s'en tient à la vitesse signalée, mais qu'il ne l'adapte pas aux circonstances (BS 1998 AB-BL 1988 p. 53 = JdT 1989 I 687 cité dans Bussy &amp; Rusconi, Commentaire du Code suisse de la circulation routière, 1996 ad.art 32 LCR, note 1.1 p.304). Le Tribunal fédéral a cependant jugé un cas où le recourant s'est vu reprocher une violation de l'art. 32 al. 1 LCR car sa vitesse n'avait pas été établie par un équipement adéquat, mais avait été estimée à environ 100 km / h sur une route où la vitesse maximale était de 80 km / h (ATF 6A.114/2001 du 5 décembre 2001). L'art. 32 al. 1 LCR est dès lors applicable lorsque l'autorité établit qu'il y a eu dépassement de la vitesse autorisée sans toutefois pouvoir déterminer la hauteur de ce dernier avec précision, ce qui est le cas en l'espèce. Cependant, ce n'est pas parce que l'excès de vitesse ne peut être chiffré avec précision qu'il ne faut pas admettre ce dernier comme établi. Même s'il ne l'a pas exprimé clairement dans les considérants de sa décision, le préfet a retenu que la vitesse était non seulement inadaptée, mais également excessive. Ce raisonnement est logique car, comme le relève le SAN dans ses déterminations, au vu de la situation qui prédominait au moment du contrôle (il faisait beau, la chaussée était sèche et le trafic de faible densité), la vitesse du recourant n'aurait pas pu être qualifiée d'inadaptée si ce dernier avait roulé à la vitesse autorisée, soit 50 km/h. Le recourant reconnaît d'ailleurs lui-même dans son recours avoir dépassé la limitation puisqu'il fait valoir qu'il roulait à 60 km / h, voir 65 km / h. L'autorité intimée a, comme le préfet, tenu compte du fait que la vitesse du recourant n'avait pas été constatée au moyen d'un appareil de mesure homologué et n'a dès lors pas retenu que le recourant aurait roulé à une vitesse de 85 km /h, malgré ses déclarations faites lors du contrôle de gendarmerie. En effet, si elle avait pris en compte une vitesse de 85 km /h, elle aurait prononcé un retrait de permis de conduire pour une durée de trois mois, afin de se conformer à la jurisprudence du Tribunal fédéral qu'elle cite dans ses déterminations. L'autorité intimée a par contre relevé que, compte tenu des déclarations faites par le recourant à la police, sa vitesse ne pouvait pas être de 60 - 65 km / h, comme allégué dans son recours. Sur ce point, elle s'écarte de la décision préfectorale puisque cette dernière constate que la hauteur du dépassement en cause ne peut être déterminée. Or, cette question relève de l'établissement des faits (ATF 6A.114/2001 du 5 décembre 2001). Aucune des circonstances prévues par la jurisprudence permettant de s'écarter des faits retenus dans le jugement pénal n'étant réalisées, l'opinion exprimée implicitement par l'autorité intimée selon laquelle le dépassement de la vitesse serait supérieur à 10 - 15 km / h ne saurait être suivie. Il convient dès lors de s'en tenir aux faits tels qu'établis dans le prononcé préfectoral du 26 septembre 2008, à savoir que le recourant a dépassé la vitesse maximale de 50 km / h sans que la hauteur de ce dépassement puisse être déterminée et que sa vitesse était inadaptée.</w:t>
      </w:r>
    </w:p>
    <w:p>
      <w:r>
        <w:rPr>
          <w:b/>
        </w:rPr>
        <w:t>E. 2</w:t>
      </w:r>
    </w:p>
    <w:p>
      <w:r>
        <w:t>a) La LCR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 Die neuen Administrativmassnahmen des Strassenverkehrsgesetzes , in Jahrbuch zum Strassenverkehrsrecht 2003, p. 186; pour une catégorisation plus exhaustive des cas moyennement graves, voir C. Mizel, Les nouvelles dispositions légales sur le retrait du permis de conduire, in RDAF 2004 p. 392; ég. arrêt 6A.16/2006 du Tribunal fédéral du 6 avril 2006). b) Le recourant estime que la faute qu'il a commise n'est que légère et que seul un avertissement devrait être prononcé à son encontre. Le recourant a commis son excès de vitesse dans une localité. Il n'a cependant pas été possible de déterminer la hauteur de ce dernier. Statuant sur un cas similaire, le Tribunal fédéral a relevé " qu' à défaut de toute constatation à ce sujet, rien ne permet de dire que le dépassement de vitesse reproché à l'intimé était suffisamment important pour justifier objectivement un retrait du permis de conduire en vertu de l'art. 16 al. 3 let. a ou al. 2 1ère phrase LCR, voire un avertissement selon l'art. 16 al. 2 2ème phrase LCR (cf. supra, consid. 2b). Il y a encore lieu de rechercher si des circonstances concrètes (conditions du trafic défavorables, mauvaise réputation de l'automobiliste) ne justifient néanmoins pas le prononcé d'une mesure administrative" (ATF 6A.114/2001 déjà cité). Concernant la route sur laquelle a été commise l'infraction, il ressort du rapport de gendarmerie que cette dernière est rectiligne et en bon état. Toujours selon ce rapport, au moment du contrôle, le trafic était de faible densité et la route était sèche. Par ailleurs, il faisait beau. La visibilité du recourant n'était dès lors entravée ni par de la pluie, ni par du brouillard. La mise en danger créée par le recourant ne saurait dès lors être qualifiée que de légère. Le recourant n'ayant fait l'objet d'aucune mesure administrative, seul un avertissement doit être prononcé à son égard. Au vu de ce qui précède, le recours est admis et la décision attaquée réformée en ce sens que seul un avertissement est prononcé à l'encontre du recourant.</w:t>
      </w:r>
    </w:p>
    <w:p>
      <w:r>
        <w:rPr>
          <w:b/>
        </w:rPr>
        <w:t>E. 3</w:t>
      </w:r>
    </w:p>
    <w:p>
      <w:r>
        <w:t>Les frais sont laissés à la charge de l'Etat et le recourant a droit à une indemnité à titre de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