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CR.2008.0291 vom 22. Januar 2009</w:t>
      </w:r>
    </w:p>
    <w:p>
      <w:r>
        <w:t>VD Tribunal cantonal, 2009-01-22, FR</w:t>
      </w:r>
    </w:p>
    <w:p>
      <w:r>
        <w:rPr>
          <w:b/>
        </w:rPr>
        <w:t xml:space="preserve">Quelle: </w:t>
      </w:r>
      <w:r>
        <w:t>https://mcp.opencaselaw.ch/entscheid/vd_omni_CR.2008.0291</w:t>
      </w:r>
    </w:p>
    <w:p>
      <w:r>
        <w:t>FR: VD_OMNI CR.2008.0291 du 22 janvier 2009</w:t>
      </w:r>
    </w:p>
    <w:p>
      <w:r>
        <w:t>IT: VD_OMNI CR.2008.0291 del 22 gennaio 2009</w:t>
      </w:r>
    </w:p>
    <w:p>
      <w:pPr>
        <w:pStyle w:val="Heading2"/>
      </w:pPr>
      <w:r>
        <w:t>Regeste</w:t>
      </w:r>
    </w:p>
    <w:p>
      <w:r>
        <w:t>X c/Service des automobiles et de la navigation | Cas où les analyses effectuées auprès du conducteur révèlent une addiction régulière, mais de faible intensité, à des produits stupéfiants (cannabis, cocaïne, héroïne et amphétamines). Retrait préventif justifié.</w:t>
      </w:r>
    </w:p>
    <w:p>
      <w:pPr>
        <w:pStyle w:val="Heading2"/>
      </w:pPr>
      <w:r>
        <w:t>Erwägungen</w:t>
      </w:r>
    </w:p>
    <w:p>
      <w:r>
        <w:rPr>
          <w:b/>
        </w:rPr>
        <w:t>E. 1</w:t>
      </w:r>
    </w:p>
    <w:p>
      <w:r>
        <w:t>a) Selon l’art. 16d de la loi fédérale du 19 décembre 1958 sur la circulation routière (LCR; RS 741.01),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L'art. 23 al. 1 in fine LCR prévoit qu'en règle générale, l'autorité entendra l'intéressé avant de lui retirer son permis de conduire ou de le soumettre à une interdiction de circuler. Toutefois, selon l’art. 30 de l'ordonnance du 27 octobre 1976 réglant l’admission des personnes et des véhicules à la circulation routière (OAC; RS 741.51),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ATF 122 II 359). En matière de toxicomanie, il en va de la drogue comme de l'alcool : la dépendance à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justifie seulement le retrait préventif du permis de conduire pendant la durée de l'instruction (ATF 124 II 559; ATF 127 II 122). Lorsque les présomptions de dépendance ne sont pas assez fortes pour justifier une mesure de retrait préventif, dans des cas de consommation de stupéfiants, l'instruction doit se poursuivre par la mise en œuvre d’une expertise (cf. arrêts CR.2002.0270 du 25 novembre 2002; CR.2002.0176 du 20 janvier 2004 ; CR.2004.0152 du 8 juin 2004; CR.2005.0204 du 8 septembre 2005). Une consommation unique de drogue ne suffit pas à établir un soupçon de dépendance justifiant un retrait préventif (arrêts CR.2008.0121 du 12 décembre 2008; CR.2006.0103 du 24 avril 2006; CR.2005.0204 du 8 septembre 2005; CR.2004.0152 du 8 juin 2004). b) Le recourant a déclaré lui-même s’adonner régulièrement, au rythme de deux fois par semaine, à la consommation de cannabis. La présence de cette substance, ainsi que de cocaïne, d’héroïne et d’amphétamine, a été confirmée par l’analyse des prélèvements effectués le 19 juillet 2008. Sans doute le Dr Y.________ a-t-il estimé, selon son certificat du 1er octobre 2008, que le recourant avait cessé cette consommation. Il a relevé toutefois que l’analyse effectuée le 26 août 2008 avait révélé la présence de cannabis dans l’organisme du recourant, mais dans une faible proportion, qui pouvait s’expliquer comme étant le «résidus» d’une consommation antérieure. Cette appréciation a toutefois été contredite par le Dr Z.________. Dans son avis du 17 octobre 2008, celui-ci a souligné que les analyses effectuées avaient signalé la présence d’autres substances stupéfiantes dans l’organisme du recourant. Ce constat, dont le Tribunal n’a pas de raison de s’écarter, corrobore le soupçon que le recourant ne consomme pas que du cannabis, d’une part, et que son addiction perdure, d’autre part. On ne se trouve ainsi pas dans une situation de consommation unique (cf. arrêt CR.2008.0121, précité), mais d’une addiction régulière, peut-être à faible intensité, mais qui justifie néanmoins et le retrait préventif du permis de conduire, et la mise en œuvre d’une expertise auprès de l’UMTR – que le recourant ne conteste pas, au demeurant (cf. arrêt CR.2007.0118 du 21 septembre 2007).</w:t>
      </w:r>
    </w:p>
    <w:p>
      <w:r>
        <w:rPr>
          <w:b/>
        </w:rPr>
        <w:t>E. 2</w:t>
      </w:r>
    </w:p>
    <w:p>
      <w:r>
        <w:t>Le recours doit ainsi être rejeté, et la décision attaquée confirmée. Les frais sont mis à la charge du recourant; il n’y a pas lieu d’allouer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