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CR.2008.0266 vom 26. März 2010</w:t>
      </w:r>
    </w:p>
    <w:p>
      <w:r>
        <w:t>VD Tribunal cantonal, 2010-03-26, FR</w:t>
      </w:r>
    </w:p>
    <w:p>
      <w:r>
        <w:rPr>
          <w:b/>
        </w:rPr>
        <w:t xml:space="preserve">Quelle: </w:t>
      </w:r>
      <w:r>
        <w:t>https://mcp.opencaselaw.ch/entscheid/vd_omni_CR.2008.0266</w:t>
      </w:r>
    </w:p>
    <w:p>
      <w:r>
        <w:t>FR: VD_OMNI CR.2008.0266 du 26 mars 2010</w:t>
      </w:r>
    </w:p>
    <w:p>
      <w:r>
        <w:t>IT: VD_OMNI CR.2008.0266 del 26 marzo 2010</w:t>
      </w:r>
    </w:p>
    <w:p>
      <w:pPr>
        <w:pStyle w:val="Heading2"/>
      </w:pPr>
      <w:r>
        <w:t>Regeste</w:t>
      </w:r>
    </w:p>
    <w:p>
      <w:r>
        <w:t>X.________ c/Service des automobiles et de la navigation | Excès de vitesse sur l'autoroute. Admission partielle du recours (retrait de permis baissé de 14 à 12 mois), vu le besoin professionnel de conduire de l'intéressé. Compte tenu de l'admission très partielle du recours et du fait que l'autorité intimée a expressément indiqué, dans sa réponse, être disposée à modifier la décision attaquée dans ce sens, les frais sont laissés à la charge du recourant, qui n'a pas non plus droit à des dépens.</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Selon la jurisprudence du Tribunal fédéral, l'autorité administrative statuant sur un retrait de permis,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doit pas s'écarter sans raison sérieuse des constatations de fait du juge pénal (ATF 119 Ib 158 précité consid. 3c/aa p. 164,106 Ib 398 consid. 2, 105 Ib 19 consid. 1a, 104 Ib 359 consid. 1 et 362 ss consid. 3), tend à respecter celui de la sécurité du droit, lequel commande en effet d’éviter que l’indépendance du juge pénal et du juge administratif ne conduise à des jugements opposés, rendus sur la base des mêmes faits (ATF 1C_93/2008 du 2 juillet 2008 consid. 2.1 ; 109 Ib 203 consid. 1 p. 204 ; 96 I 766 consid. 4 p. 774). Il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(ordonnance de condamnation) ou lorsque la décision pénale se fonde uniquement sur le rapport de police et que les témoins n'ont pas été formellement interrogés, mais entendus par des agents de police en l'absence de l'accusé (CR.2008.0282 du 3 avril 2009 consid. 2a) .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123 II 97 consid. 3c/aa p. 104; 121 II 214 consid. 3a p.217 ss).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1C.29/2007 du 27 août 2007 consid. 3.1; 123 II 97 consid. 3c/aa p. 104; 119 Ib 158 consid. 3c/aa p. 164; 105 Ib 18 consid. 1a p. 19; 101 Ib 270 consid. 1b p. 273 s.; 96 I 766 consid.</w:t>
      </w:r>
    </w:p>
    <w:p>
      <w:r>
        <w:rPr>
          <w:b/>
        </w:rPr>
        <w:t>E. 5</w:t>
      </w:r>
    </w:p>
    <w:p>
      <w:r>
        <w:t>Au vu de ce qui précède, le recours doit être très partiellement admis et la décision du SAN du 1 er octobre 2008 réformée, en ce sens que la durée du retrait est ramenée à 12 mois. Compte tenu de l'admission très partielle du recours et du fait que l'autorité intimée a expressément indiqué, le 17 février 2009, être disposée à modifier la décision attaquée dans ce sens, les frais, arrêtés à 600 fr., seront laissés à la charge du recourant (art. 49 ss LPA), qui n'a pas droit à des dépens (art. 55, 91 et 99 LPA-VD).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