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CR.2008.0260 vom 4. Februar 2009</w:t>
      </w:r>
    </w:p>
    <w:p>
      <w:r>
        <w:t>VD Tribunal cantonal, 2009-02-04, FR</w:t>
      </w:r>
    </w:p>
    <w:p>
      <w:r>
        <w:rPr>
          <w:b/>
        </w:rPr>
        <w:t xml:space="preserve">Quelle: </w:t>
      </w:r>
      <w:r>
        <w:t>https://mcp.opencaselaw.ch/entscheid/vd_omni_CR.2008.0260</w:t>
      </w:r>
    </w:p>
    <w:p>
      <w:r>
        <w:t>FR: VD_OMNI CR.2008.0260 du 4 février 2009</w:t>
      </w:r>
    </w:p>
    <w:p>
      <w:r>
        <w:t>IT: VD_OMNI CR.2008.0260 del 4 febbraio 2009</w:t>
      </w:r>
    </w:p>
    <w:p>
      <w:pPr>
        <w:pStyle w:val="Heading2"/>
      </w:pPr>
      <w:r>
        <w:t>Regeste</w:t>
      </w:r>
    </w:p>
    <w:p>
      <w:r>
        <w:t>X c/Service des automobiles et de la navigation | C'est à juste titre que l'autorité intimée a retenu la commission d'une faute moyennement grave par un automobiliste qui ne respecte pas la distance de sécurité avec le véhicule le précédant en anticipant le fait que celui-ci allait se rabattre sur la voie de droite. Recours rejeté.</w:t>
      </w:r>
    </w:p>
    <w:p>
      <w:pPr>
        <w:pStyle w:val="Heading2"/>
      </w:pPr>
      <w:r>
        <w:t>Erwägungen</w:t>
      </w:r>
    </w:p>
    <w:p>
      <w:r>
        <w:rPr>
          <w:b/>
        </w:rPr>
        <w:t>E. 1</w:t>
      </w:r>
    </w:p>
    <w:p>
      <w:r>
        <w:t>Le recourant conteste les faits retenus par l'autorité intimée, en particulier la distance sur laquelle il a circulé de manière rapprochée du véhicule qui le précédait et l'écart qui le séparait de celui-ci. a) Selon la jurisprudence,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1C.29/2007 du 27 août 2007 consid. 3.1; 123 II 97 consid. 3c/aa p. 104; 119 Ib 158 consid. 3c/aa p. 164; 105 Ib 18 consid. 1a p. 19; 101 Ib 270 consid. 1b p. 273 s.; 96 I 766 consid.</w:t>
      </w:r>
    </w:p>
    <w:p>
      <w:r>
        <w:rPr>
          <w:b/>
        </w:rPr>
        <w:t>E. 5</w:t>
      </w:r>
    </w:p>
    <w:p>
      <w:r>
        <w:t>p. 774 s.).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 ATF 1C.29/2007 du 27 août 2007 consid. 3.1; 123 II 97 consid. 3c/aa p. 104; 121 II 214 consid. 3a p. 217 s.). b) En l'espèce, le Préfet a reconnu le recourant coupable d'infraction à la législation sur la circulation routière pour avoir circulé au volant de son véhicule sans respecter une distance suffisante avec l'usager le précédant et l'a condamné au paiement d'une amende de 100 francs. Le recourant a renoncé a contester ce prononcé préfectoral vu la faible quotité de la peine infligée. Or, aucun élément figurant au dossier ne permet de remettre en cause les constatations établies par la police cantonale le 10 juin 2008 sur lesquelles l'autorité pénale s'est fondée pour statuer. En particulier, le recourant n'apporte aucun élément qui serait propre à mettre en question l'appréciation du Préfet. Le recourant se contente en effet de mettre en doute les affirmations de la police qu'il juge sommaires, sans apporter aucun élément concret permettant de les démentir. De plus, il ressort du dossier que le recourant a eu connaissance de la décision pénale qu'il a intentionnellement renoncé à contester pour des motifs qui lui sont propres. Or, au vu de la jurisprudence précitée, il était tenu de faire valoir ses moyens dans le cadre de la procédure pénale. L'autorité intimée ne pouvait dès lors s'écarter des faits retenus par le Préfet pour statuer sur le plan administratif. Ce grief est dès lors mal fondé. 2. Le recourant conteste ensuite la qualification faite par l'autorité intimée de son infraction. Il affirme n'avoir pas "talonné" le véhicule qui le précédait, mais seulement "anticipé de manière excessive le moment où ce véhicule allait se rabattre". Il relève en outre ne pas avoir eu de comportement agressif à l'égard du véhicule en question, n'avoir pas commis d'excès de vitesse et que la densité du trafic était moyenne voire faible. Il estime dès lors que son comportement est constitutif d'une mise en danger abstraite de faible intensité et que l'infraction doit par conséquent être qualifiée de légère. a) aa) 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 a al. 1 let. a LCR). En cas d'infraction particulièrement légère, il est renoncé à toute mesure administrative (art. 16 a al. 4 LCR). Dans les autres cas, il ne peut être renoncé au retrait du permis du conducteur fautif au profit d'un avertissement que si, au cours des deux années précédentes, le permis ne lui a pas été retiré et qu'aucune autre mesure administrative n'a été prononcée (art. 16 a al. 2 et 3 LCR). Commet une infraction moyennement grave la personne qui, en violant les règles de la circulation, crée un danger pour la sécurité d'autrui ou en prend le risque (art. 16 b al. 1 let. a LCR). Dans cette hypothèse, le permis de conduire est retiré pour un mois au minimum (art. 16 b al. 2 let. a LCR). Commet une infraction grave la personne qui, en violant gravement les règles de la circulation, met sérieusement en danger la sécurité d'autrui ou en prend le risque (art. 16 c al. 1 let. a LCR). Dans ce cas, le permis de conduire est retiré pour trois mois au minimum (art. 16 c al. 2 let. b LCR). Le législateur conçoit l’art. 16 b al. 1 let. a LCR comme l’élément dit de regroupement. Cette disposition n’est ainsi pas applicable aux infractions qui tombent sous le coup des art. 16 a al. 1 ou 16 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in RDAF 2004 p. 392; ATF 6A.16/2006 du 6 avril 2006). bb) L'art. 34 al. 4 LCR prescrit que le conducteur observera une distance suffisante envers tous les usagers de la route, notamment pour croiser, dépasser et circuler de front ou lorsque des véhicules se suivent. L'art. 12 al. 1 de l'ordonnance fédérale du 13 novembre 1962 sur les règles de la circulation routière (OCR; RS 741.11) précise que l orsque des véhicules se suivent, le conducteur se tiendra à une distance suffisante du véhicule qui le précède, afin de pouvoir s’arrêter à temps en cas de freinage inattendu. Le Tribunal fédéral a jugé qu'un automobiliste qui, à plus de 100 km/h sur la voie de dépassement d'une semi-autoroute avec chaussées séparées dans les deux directions, a suivi, sur 800 mètres et à une distance de dix mètres environ, une voiture en train de dépasser deux véhicules, cela dans l'intention manifeste de contraindre le conducteur ainsi talonné d'accélérer ou de se rabattre sur la piste de droite commettait ce faisant une violation grave des règles de la circulation (ATF 131 IV 133). La Cour de céans (jusqu'au 31 décembre 2008: le Tribunal administratif) considère pour sa part en général que la faute d'un automobiliste qui, même s'il ne talonne pas le véhicule le précédant, ne respecte pas la distance de sécurité, doit être qualifiée à tout le moins de moyenne (qu'il y ait eu ou non accident), car un tel comportement va clairement à l'encontre des règles élémentaires de prudence que se doit de respecter tout conducteur circulant sur l'autoroute (arrêts CR.2008.0053 du 19 décembre 2008; CR.2006.0080 du 5 décembre 2006; CR.2002.0259 du 13 septembre 2004; CR.2003.0147 du 15 octobre 2003; CR.2003.0034 du 25 juillet 2003; CR.2000.0261 du 13 février 2002; CR.2000.0289 du 17 octobre 2001; CR.2001.0102 du 3 mai 2001; CR.2000.0176 du 17 avril 2001; CR.2000.0124 du 12 mars 2001; CR.2000.0079 du 22 janvier 2001; CR.1998.0041 du 21 janvier 1999; CR.1998.0148 du 19 août 1998). Néanmoins, dans un certain nombre d’arrêts portant sur le non respect de la distance de sécurité sur l’autoroute, la Cour de céans a considéré que la faute pouvait encore être qualifiée de légère, au vu des circonstances particulières de l’espèce, par exemple lorsque la distance entre les véhicules s'est progressivement réduite sans faute de l'intéressé, notamment parce qu'un véhicule s'est intercalé entre le véhicule du conducteur et celui qui le précédait (arrêts CR.2005.0183 du 18 août 2006; CR.2004.0293 du 2 mars 2005; CR.2002.0187 du 21 juillet 2004; CR.2002.0093 du 16 avril 2003; CR.2000.0029 du 27 juillet 2001). b) En l'espèce, rien ne permet de conclure que la distance séparant le véhicule du recourant du précédant a diminué de manière indépendante de sa volonté. Au contraire, le recourant a clairement exposé avoir anticipé la manœuvre du véhicule le précédant, se permettant ainsi de ne plus respecter les distances de sécurité, alors qu'aucune raison ne le justifiait, si ce n'est son impatience. Il a pris le risque de ne pouvoir arrêter son véhicule à temps si, pour une raison quelconque, le véhicule qui circulait devant lui avait dû freiner de manière inattendue. Le recourant a de plus fait un appel de phares au conducteur de la voiture le précédant, montrant par là une certaine agressivité à son égard. La faute commise par le recourant ne peut dès lors en aucun cas être qualifiée de bénigne. Partant, c'est à juste titre que l'autorité intimée a retenu la commission d'une faute moyennement grave en l'espèce et retiré le permis de conduire du recourant pour une durée d'un mois, soit le minimum légal prévu par la loi dans ce cas. 3. Il découle des considérations qui précèdent que le recours est mal fondé. Il doit ainsi être rejeté aux frais du recourant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