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CR.2008.0245 vom 27. April 2009</w:t>
      </w:r>
    </w:p>
    <w:p>
      <w:r>
        <w:t>VD Tribunal cantonal, 2009-04-27, FR</w:t>
      </w:r>
    </w:p>
    <w:p>
      <w:r>
        <w:rPr>
          <w:b/>
        </w:rPr>
        <w:t xml:space="preserve">Quelle: </w:t>
      </w:r>
      <w:r>
        <w:t>https://mcp.opencaselaw.ch/entscheid/vd_omni_CR.2008.0245</w:t>
      </w:r>
    </w:p>
    <w:p>
      <w:r>
        <w:t>FR: VD_OMNI CR.2008.0245 du 27 avril 2009</w:t>
      </w:r>
    </w:p>
    <w:p>
      <w:r>
        <w:t>IT: VD_OMNI CR.2008.0245 del 27 aprile 2009</w:t>
      </w:r>
    </w:p>
    <w:p>
      <w:pPr>
        <w:pStyle w:val="Heading2"/>
      </w:pPr>
      <w:r>
        <w:t>Regeste</w:t>
      </w:r>
    </w:p>
    <w:p>
      <w:r>
        <w:t>X. c/Service des automobiles et de la navigation | Perte de maîtrise sur l'autoroute à la suite d'une vitesse inadaptée. Faute moyennement grave qui, si la conductrice n'avait pas déjà été sanctionée pour des raisons similiaires au cours des deux années précédentes, aurait pu conduire le SAN à se limiter à une mesure de retrait d'une durée d'un mois. Retrait de quatre mois confirmé.</w:t>
      </w:r>
    </w:p>
    <w:p>
      <w:pPr>
        <w:pStyle w:val="Heading2"/>
      </w:pPr>
      <w:r>
        <w:t>Erwägungen</w:t>
      </w:r>
    </w:p>
    <w:p>
      <w:r>
        <w:rPr>
          <w:b/>
        </w:rPr>
        <w:t>E. 1</w:t>
      </w:r>
    </w:p>
    <w:p>
      <w:r>
        <w:t>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René Schaffhauser, Die neuen Administrativmassnahmen des Strassenverkehrsgesetzes, in Jahrbuch zum Strassenverkehrsrecht 2003, p. 186; cf., pour une catégorisation plus exhaustive des cas moyennement graves, Cédric Mizel, Les nouvelles dispositions légales sur le retrait du permis de conduire, in RDAF 2004 I 361 et ss, not. 392; v. ATF 6A.16/2006 du 6 avril 2006).</w:t>
      </w:r>
    </w:p>
    <w:p>
      <w:r>
        <w:rPr>
          <w:b/>
        </w:rPr>
        <w:t>E. 2</w:t>
      </w:r>
    </w:p>
    <w:p>
      <w:r>
        <w:t>a) Le conducteur devra rester constamment maître de son véhicule de façon à pouvoir se conformer au devoir de la prudence (art. 31 al. 1 LCR). Il vouera son attention à la route et à la circulation et évitera toute occupation qui rendrait plus difficile la conduite du véhicule (art. 3 al. 1, 1 ère et 2 ème phrases, de l'ordonnance du 13 novembre 1962 sur les règles de la circulation routière – OCR; RS 714.11). La vitesse doit toujours être adaptée aux circonstances, notamment aux particularités du véhicule et du chargement, ainsi qu’aux conditions de la route, de la circulation et de la visibilité (art. 32 al. 1, 1 ère phrase LCR). b)  En l’occurrence, il ressort du prononcé préfectoral entré en force et duquel l’autorité administrative ne peut s’écarter (ATF 123 II 97 consid. 3 c/aa p. 103/104 ; 121 II 214 consid. 3a p. 217 ; 119 Ib 158 consid. 3 c/bb p. 164) que la recourante a perdu la maîtrise de son véhicule à la suite d’une vitesse inadaptée aux circonstances d’une chaussée mouillée; du reste, elle ne le conteste pas. La faute de circulation de la recourante ne peut pas être considérée comme bénigne, surtout, compte tenu de l'accident subséquent qu'elle a provoqué. Cette faute a concrètement et gravement mis en danger la sécurité routière, même si elle n'a heureusement engendré que des dommages matériels. Cette embardée constituait une source importante de danger pour les autres usagers et aurait pu avoir des conséquences plus graves. Cependant, comme le Tribunal administratif l'a jugé à de nombreuses reprises dans d'autres affaires concernant des pertes de maîtrise sur l'autoroute (arrêts CR.2006.0156 du 16 août 2007; CR.2005.0093 du 13 octobre 2006; CR.2005.0212 du 23 juin 2006, CR.2004.0317 du 24 novembre 2005 ; CR.2005.0066 du 20 octobre 2005), on ne considérera pas une telle faute comme grave, mais comme moyennement grave (v. au surplus, Mizel, op. cit., p. 377-378, nombreuses références citées). c) Dans ces conditions, l’autorité intimée aurait pu se limiter à une mesure de retrait d’un mois si, au cours des deux années précédentes, elle n’avait pas déjà dû retirer le permis de la recourante en raison d’une infraction grave ou moyennement grave. Or, tel était le cas. En effet, la recourante a fait l’objet d’une précédente mesure de retrait de permis d’un mois le 24 juillet 2007, pour une faute de gravité moyenne. C’est donc à juste titre que l’autorité intimée, appliquant l’art. 16b al. 2 let. b LCR, a prononcé en l’espèce une mesure de retrait de quatre mois. Comme il s’agit de la durée minimale du retrait, une réduction n’entre pas en considération (art. 16 al. 3 LCR), quels que soient les motifs invoqués. On relève au surplus qu’il aurait été difficile d’apprécier ceux-ci, la recourante ayant expliqué à trois reprises successives, le 31 août 2008 à l’autorité intimée, le 29 septembre 2008 puis le 18 février 2009 au Tribunal, qu’elle allait débuter « dans les prochains jours » une activité d’infirmière en soins à domicile. A supposer que la recourante exerce effectivement une telle activité, il lui appartiendra de prendre ses dispositions pour se déplacer pendant la période de retrait.</w:t>
      </w:r>
    </w:p>
    <w:p>
      <w:r>
        <w:rPr>
          <w:b/>
        </w:rPr>
        <w:t>E. 3</w:t>
      </w:r>
    </w:p>
    <w:p>
      <w:r>
        <w:t>Il s’ensuit que le recours ne peut qu’être rejeté et la décision attaquée, ceci aux frais de son auteur (art. 49 al. 1 et 91 de la loi du 28 octobre 2008 sur la procédure administrative – LPA-VD; RSV 173.36 –, en vigueur depuis le 1 er janvier 2009 et applicable, vu son article 117 al. 1, aux causes pendantes à cette dernière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